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6" w:rsidRDefault="003641FA" w:rsidP="00AF22AF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E6" w:rsidRPr="001B26F0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1B26F0">
        <w:rPr>
          <w:bCs/>
          <w:sz w:val="28"/>
          <w:szCs w:val="28"/>
        </w:rPr>
        <w:t xml:space="preserve">РОССИЙСКАЯ ФЕДЕРАЦИЯ </w:t>
      </w:r>
    </w:p>
    <w:p w:rsidR="00995BE6" w:rsidRPr="001B26F0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1B26F0">
        <w:rPr>
          <w:bCs/>
          <w:sz w:val="28"/>
          <w:szCs w:val="28"/>
        </w:rPr>
        <w:t>РОСТОВСКАЯ ОБЛАСТЬ</w:t>
      </w:r>
    </w:p>
    <w:p w:rsidR="001B26F0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1B26F0">
        <w:rPr>
          <w:bCs/>
          <w:sz w:val="28"/>
          <w:szCs w:val="28"/>
        </w:rPr>
        <w:t>МУНИЦИПАЛЬНОЕ ОБРАЗОВАНИЕ «</w:t>
      </w:r>
      <w:r w:rsidR="003E6B6D" w:rsidRPr="001B26F0">
        <w:rPr>
          <w:bCs/>
          <w:sz w:val="28"/>
          <w:szCs w:val="28"/>
        </w:rPr>
        <w:t>ЛИТВИНОВСКОЕ</w:t>
      </w:r>
      <w:r w:rsidRPr="001B26F0">
        <w:rPr>
          <w:bCs/>
          <w:sz w:val="28"/>
          <w:szCs w:val="28"/>
        </w:rPr>
        <w:t xml:space="preserve"> </w:t>
      </w:r>
    </w:p>
    <w:p w:rsidR="00995BE6" w:rsidRPr="001B26F0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1B26F0">
        <w:rPr>
          <w:bCs/>
          <w:sz w:val="28"/>
          <w:szCs w:val="28"/>
        </w:rPr>
        <w:t>СЕЛЬСКОЕ ПОСЕЛЕНИЕ»</w:t>
      </w:r>
    </w:p>
    <w:p w:rsidR="00995BE6" w:rsidRPr="001B26F0" w:rsidRDefault="003641FA" w:rsidP="00AF22AF">
      <w:pPr>
        <w:tabs>
          <w:tab w:val="left" w:pos="5670"/>
        </w:tabs>
        <w:jc w:val="center"/>
        <w:rPr>
          <w:sz w:val="28"/>
          <w:szCs w:val="28"/>
        </w:rPr>
      </w:pPr>
      <w:r w:rsidRPr="001B26F0">
        <w:rPr>
          <w:bCs/>
          <w:sz w:val="28"/>
          <w:szCs w:val="28"/>
        </w:rPr>
        <w:t xml:space="preserve">АДМИНИСТРАЦИЯ </w:t>
      </w:r>
      <w:r w:rsidR="003E6B6D" w:rsidRPr="001B26F0">
        <w:rPr>
          <w:bCs/>
          <w:sz w:val="28"/>
          <w:szCs w:val="28"/>
        </w:rPr>
        <w:t>ЛИТВИНОВСКОГО</w:t>
      </w:r>
      <w:r w:rsidRPr="001B26F0">
        <w:rPr>
          <w:bCs/>
          <w:sz w:val="28"/>
          <w:szCs w:val="28"/>
        </w:rPr>
        <w:t xml:space="preserve"> СЕЛЬСКОГО ПОСЕЛЕНИЯ </w:t>
      </w:r>
    </w:p>
    <w:p w:rsidR="00995BE6" w:rsidRDefault="00995BE6" w:rsidP="00AF22AF">
      <w:pPr>
        <w:jc w:val="center"/>
        <w:rPr>
          <w:b/>
          <w:bCs/>
          <w:sz w:val="28"/>
          <w:szCs w:val="28"/>
        </w:rPr>
      </w:pPr>
    </w:p>
    <w:p w:rsidR="00995BE6" w:rsidRDefault="003641FA" w:rsidP="00AF22AF">
      <w:pPr>
        <w:jc w:val="center"/>
        <w:rPr>
          <w:bCs/>
          <w:sz w:val="28"/>
          <w:szCs w:val="28"/>
        </w:rPr>
      </w:pPr>
      <w:r w:rsidRPr="00E62169">
        <w:rPr>
          <w:bCs/>
          <w:sz w:val="28"/>
          <w:szCs w:val="28"/>
        </w:rPr>
        <w:t>ПОСТАНОВЛЕНИЕ</w:t>
      </w:r>
    </w:p>
    <w:p w:rsidR="001B26F0" w:rsidRPr="00E62169" w:rsidRDefault="001B26F0" w:rsidP="00AF22AF">
      <w:pPr>
        <w:jc w:val="center"/>
        <w:rPr>
          <w:bCs/>
          <w:sz w:val="28"/>
          <w:szCs w:val="28"/>
        </w:rPr>
      </w:pPr>
    </w:p>
    <w:p w:rsidR="003E6B6D" w:rsidRPr="00E62169" w:rsidRDefault="001B26F0" w:rsidP="003E6B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 марта 2026 года</w:t>
      </w:r>
      <w:r w:rsidR="003E6B6D" w:rsidRPr="00E62169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 w:rsidR="003E6B6D" w:rsidRPr="00E6216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75           </w:t>
      </w:r>
      <w:r w:rsidR="003E6B6D" w:rsidRPr="00E62169">
        <w:rPr>
          <w:bCs/>
          <w:sz w:val="28"/>
          <w:szCs w:val="28"/>
        </w:rPr>
        <w:t xml:space="preserve">                           с.Литвиновка</w:t>
      </w:r>
    </w:p>
    <w:p w:rsidR="00995BE6" w:rsidRPr="00E62169" w:rsidRDefault="00995BE6" w:rsidP="00AF22AF">
      <w:pPr>
        <w:jc w:val="center"/>
        <w:rPr>
          <w:sz w:val="28"/>
          <w:szCs w:val="28"/>
        </w:rPr>
      </w:pPr>
    </w:p>
    <w:p w:rsidR="00995BE6" w:rsidRPr="00E62169" w:rsidRDefault="00995BE6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</w:p>
    <w:p w:rsidR="00995BE6" w:rsidRPr="00E62169" w:rsidRDefault="003641FA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  <w:r w:rsidRPr="00E62169">
        <w:rPr>
          <w:spacing w:val="-2"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E6B6D" w:rsidRPr="00E62169">
        <w:rPr>
          <w:spacing w:val="-2"/>
          <w:sz w:val="28"/>
          <w:szCs w:val="28"/>
        </w:rPr>
        <w:t>Литвиновского</w:t>
      </w:r>
      <w:r w:rsidRPr="00E62169">
        <w:rPr>
          <w:spacing w:val="-2"/>
          <w:sz w:val="28"/>
          <w:szCs w:val="28"/>
        </w:rPr>
        <w:t xml:space="preserve"> сельского поселения «</w:t>
      </w:r>
      <w:r w:rsidR="006839AB" w:rsidRPr="00E62169">
        <w:rPr>
          <w:sz w:val="28"/>
          <w:szCs w:val="28"/>
        </w:rPr>
        <w:t>Энергоэффективность и развитие энергетики</w:t>
      </w:r>
      <w:r w:rsidRPr="00E62169">
        <w:rPr>
          <w:spacing w:val="-2"/>
          <w:sz w:val="28"/>
          <w:szCs w:val="28"/>
        </w:rPr>
        <w:t>» за 202</w:t>
      </w:r>
      <w:r w:rsidR="00300FDB" w:rsidRPr="00E62169">
        <w:rPr>
          <w:spacing w:val="-2"/>
          <w:sz w:val="28"/>
          <w:szCs w:val="28"/>
        </w:rPr>
        <w:t>5</w:t>
      </w:r>
      <w:r w:rsidRPr="00E62169">
        <w:rPr>
          <w:spacing w:val="-2"/>
          <w:sz w:val="28"/>
          <w:szCs w:val="28"/>
        </w:rPr>
        <w:t xml:space="preserve"> год</w:t>
      </w:r>
    </w:p>
    <w:p w:rsidR="00995BE6" w:rsidRDefault="00995BE6" w:rsidP="00AF22AF">
      <w:pPr>
        <w:jc w:val="both"/>
        <w:rPr>
          <w:b/>
        </w:rPr>
      </w:pPr>
    </w:p>
    <w:p w:rsidR="00995BE6" w:rsidRPr="00912B62" w:rsidRDefault="003641FA" w:rsidP="00AF22AF">
      <w:pPr>
        <w:tabs>
          <w:tab w:val="left" w:pos="3660"/>
          <w:tab w:val="center" w:pos="5598"/>
        </w:tabs>
        <w:jc w:val="both"/>
        <w:rPr>
          <w:b/>
          <w:spacing w:val="-2"/>
          <w:sz w:val="28"/>
          <w:szCs w:val="28"/>
        </w:rPr>
      </w:pPr>
      <w:r w:rsidRPr="00912B62">
        <w:rPr>
          <w:spacing w:val="-2"/>
          <w:sz w:val="28"/>
          <w:szCs w:val="28"/>
        </w:rPr>
        <w:t xml:space="preserve">В соответствии с бюджетным законодательством Российской Федерации, во исполнении Постановления Администрации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от 1</w:t>
      </w:r>
      <w:r w:rsidR="003E6B6D">
        <w:rPr>
          <w:spacing w:val="-2"/>
          <w:sz w:val="28"/>
          <w:szCs w:val="28"/>
        </w:rPr>
        <w:t>0.07.2024 № 91</w:t>
      </w:r>
      <w:r w:rsidRPr="00912B62">
        <w:rPr>
          <w:spacing w:val="-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поселения» Администрация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</w:t>
      </w:r>
      <w:r w:rsidRPr="00912B62">
        <w:rPr>
          <w:b/>
          <w:spacing w:val="-2"/>
          <w:sz w:val="28"/>
          <w:szCs w:val="28"/>
        </w:rPr>
        <w:t>п о с т а н о в л я е т:</w:t>
      </w:r>
    </w:p>
    <w:p w:rsidR="00995BE6" w:rsidRPr="00912B62" w:rsidRDefault="00995BE6" w:rsidP="00AF22AF">
      <w:pPr>
        <w:jc w:val="both"/>
        <w:rPr>
          <w:sz w:val="28"/>
          <w:szCs w:val="28"/>
        </w:rPr>
      </w:pPr>
    </w:p>
    <w:p w:rsidR="00995BE6" w:rsidRPr="00912B62" w:rsidRDefault="003641FA" w:rsidP="00AF22AF">
      <w:pPr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1. </w:t>
      </w:r>
      <w:r w:rsidRPr="00912B62">
        <w:rPr>
          <w:spacing w:val="-2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</w:t>
      </w:r>
      <w:bookmarkStart w:id="0" w:name="_Hlk126830132"/>
      <w:r w:rsidR="002C3898">
        <w:rPr>
          <w:spacing w:val="-2"/>
          <w:sz w:val="28"/>
          <w:szCs w:val="28"/>
        </w:rPr>
        <w:t xml:space="preserve"> </w:t>
      </w:r>
      <w:r w:rsidRPr="00912B62">
        <w:rPr>
          <w:sz w:val="28"/>
          <w:szCs w:val="28"/>
        </w:rPr>
        <w:t>«</w:t>
      </w:r>
      <w:r w:rsidR="006839AB" w:rsidRPr="006549B7">
        <w:rPr>
          <w:sz w:val="28"/>
          <w:szCs w:val="28"/>
        </w:rPr>
        <w:t>Энергоэффективность и развитие энергетики</w:t>
      </w:r>
      <w:r w:rsidRPr="00912B62">
        <w:rPr>
          <w:sz w:val="28"/>
          <w:szCs w:val="28"/>
        </w:rPr>
        <w:t xml:space="preserve">» </w:t>
      </w:r>
      <w:bookmarkEnd w:id="0"/>
      <w:r w:rsidRPr="00912B62">
        <w:rPr>
          <w:sz w:val="28"/>
          <w:szCs w:val="28"/>
        </w:rPr>
        <w:t>за 202</w:t>
      </w:r>
      <w:r w:rsidR="00300FDB">
        <w:rPr>
          <w:sz w:val="28"/>
          <w:szCs w:val="28"/>
        </w:rPr>
        <w:t>5</w:t>
      </w:r>
      <w:r w:rsidRPr="00912B62">
        <w:rPr>
          <w:sz w:val="28"/>
          <w:szCs w:val="28"/>
        </w:rPr>
        <w:t xml:space="preserve"> год согласно приложению к настоящему постановлению.</w:t>
      </w:r>
    </w:p>
    <w:p w:rsidR="00995BE6" w:rsidRPr="00912B62" w:rsidRDefault="003641FA" w:rsidP="00AF22AF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95BE6" w:rsidRPr="00912B62" w:rsidRDefault="003641FA" w:rsidP="00AF22AF">
      <w:pPr>
        <w:tabs>
          <w:tab w:val="left" w:pos="426"/>
          <w:tab w:val="left" w:pos="851"/>
        </w:tabs>
        <w:suppressAutoHyphens/>
        <w:jc w:val="both"/>
        <w:rPr>
          <w:spacing w:val="-2"/>
          <w:sz w:val="28"/>
          <w:szCs w:val="28"/>
        </w:rPr>
      </w:pPr>
      <w:r w:rsidRPr="00912B62">
        <w:rPr>
          <w:sz w:val="28"/>
          <w:szCs w:val="28"/>
        </w:rPr>
        <w:t>3. </w:t>
      </w:r>
      <w:r w:rsidRPr="00912B62">
        <w:rPr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F3016F">
        <w:rPr>
          <w:spacing w:val="-2"/>
          <w:sz w:val="28"/>
          <w:szCs w:val="28"/>
        </w:rPr>
        <w:t>оставляю за собой.</w:t>
      </w:r>
    </w:p>
    <w:p w:rsidR="00995BE6" w:rsidRDefault="00995BE6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26F0" w:rsidRDefault="001B26F0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26F0" w:rsidRDefault="001B26F0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26F0" w:rsidRDefault="001B26F0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26F0" w:rsidRDefault="001B26F0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0" w:type="auto"/>
        <w:tblLook w:val="04A0"/>
      </w:tblPr>
      <w:tblGrid>
        <w:gridCol w:w="4077"/>
        <w:gridCol w:w="1418"/>
        <w:gridCol w:w="4252"/>
      </w:tblGrid>
      <w:tr w:rsidR="00912B62" w:rsidTr="002E177F">
        <w:tc>
          <w:tcPr>
            <w:tcW w:w="4077" w:type="dxa"/>
            <w:hideMark/>
          </w:tcPr>
          <w:p w:rsidR="00912B62" w:rsidRPr="00FE603C" w:rsidRDefault="00F3016F" w:rsidP="00AF22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912B62" w:rsidRPr="00FE603C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="00300FDB">
              <w:rPr>
                <w:sz w:val="28"/>
                <w:szCs w:val="28"/>
                <w:lang w:eastAsia="en-US"/>
              </w:rPr>
              <w:t>А</w:t>
            </w:r>
            <w:r w:rsidR="00912B62" w:rsidRPr="00FE603C">
              <w:rPr>
                <w:sz w:val="28"/>
                <w:szCs w:val="28"/>
                <w:lang w:eastAsia="en-US"/>
              </w:rPr>
              <w:t>дминистрации</w:t>
            </w:r>
          </w:p>
          <w:p w:rsidR="00912B62" w:rsidRPr="00FE603C" w:rsidRDefault="00F3016F" w:rsidP="00F3016F">
            <w:pPr>
              <w:ind w:right="-10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Литвиновского</w:t>
            </w:r>
            <w:r w:rsidR="00912B62" w:rsidRPr="00FE603C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670" w:type="dxa"/>
            <w:gridSpan w:val="2"/>
          </w:tcPr>
          <w:p w:rsidR="00912B62" w:rsidRPr="00FE603C" w:rsidRDefault="00912B62" w:rsidP="00AF22A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912B62" w:rsidRPr="00300FDB" w:rsidRDefault="00F3016F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И.Н. Герасименко</w:t>
            </w:r>
          </w:p>
        </w:tc>
      </w:tr>
      <w:tr w:rsidR="00EE3414" w:rsidTr="002E177F">
        <w:tc>
          <w:tcPr>
            <w:tcW w:w="5495" w:type="dxa"/>
            <w:gridSpan w:val="2"/>
          </w:tcPr>
          <w:p w:rsidR="00EE3414" w:rsidRDefault="00EE3414" w:rsidP="00EE3414">
            <w:pPr>
              <w:rPr>
                <w:sz w:val="28"/>
                <w:szCs w:val="28"/>
                <w:lang w:eastAsia="en-US"/>
              </w:rPr>
            </w:pPr>
          </w:p>
          <w:p w:rsidR="001B26F0" w:rsidRPr="00EE3414" w:rsidRDefault="001B26F0" w:rsidP="00EE34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EE3414" w:rsidRPr="00EE3414" w:rsidRDefault="00EE3414" w:rsidP="00EE3414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B0C70" w:rsidRDefault="009B0C70" w:rsidP="00AF22AF">
      <w:pPr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 №1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5BE6" w:rsidRDefault="00F3016F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3641FA">
        <w:rPr>
          <w:sz w:val="28"/>
          <w:szCs w:val="28"/>
        </w:rPr>
        <w:t xml:space="preserve">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1B26F0">
        <w:rPr>
          <w:sz w:val="28"/>
          <w:szCs w:val="28"/>
        </w:rPr>
        <w:t xml:space="preserve"> 17</w:t>
      </w:r>
      <w:r>
        <w:rPr>
          <w:sz w:val="28"/>
          <w:szCs w:val="28"/>
        </w:rPr>
        <w:t>.0</w:t>
      </w:r>
      <w:r w:rsidR="00F3016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00FDB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B26F0">
        <w:rPr>
          <w:sz w:val="28"/>
          <w:szCs w:val="28"/>
        </w:rPr>
        <w:t>75</w:t>
      </w:r>
    </w:p>
    <w:p w:rsidR="00995BE6" w:rsidRDefault="00995BE6" w:rsidP="00AF22AF">
      <w:pPr>
        <w:jc w:val="both"/>
        <w:rPr>
          <w:sz w:val="28"/>
          <w:szCs w:val="28"/>
        </w:rPr>
      </w:pP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="006839AB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jc w:val="center"/>
        <w:rPr>
          <w:sz w:val="28"/>
          <w:szCs w:val="28"/>
        </w:rPr>
      </w:pPr>
    </w:p>
    <w:p w:rsidR="00995BE6" w:rsidRDefault="003641FA" w:rsidP="00742F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1. Конкретные результаты, достигнутые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shd w:val="clear" w:color="auto" w:fill="FFFFFF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 повышения качества и комфорта проживания населения на территории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поселения, в рамках реализации муниципальной программы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«</w:t>
      </w:r>
      <w:r w:rsidR="006839AB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 xml:space="preserve">», утвержденной постановлением Администрации </w:t>
      </w:r>
      <w:r w:rsidR="002C3898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2C3898">
        <w:rPr>
          <w:sz w:val="28"/>
          <w:szCs w:val="28"/>
        </w:rPr>
        <w:t>3</w:t>
      </w:r>
      <w:r w:rsidR="006839AB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="006839AB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6839AB">
        <w:rPr>
          <w:sz w:val="28"/>
          <w:szCs w:val="28"/>
        </w:rPr>
        <w:t>18</w:t>
      </w:r>
      <w:r>
        <w:rPr>
          <w:sz w:val="28"/>
          <w:szCs w:val="28"/>
        </w:rPr>
        <w:t xml:space="preserve"> № </w:t>
      </w:r>
      <w:r w:rsidR="002C3898">
        <w:rPr>
          <w:sz w:val="28"/>
          <w:szCs w:val="28"/>
        </w:rPr>
        <w:t>1</w:t>
      </w:r>
      <w:r w:rsidR="006839AB">
        <w:rPr>
          <w:sz w:val="28"/>
          <w:szCs w:val="28"/>
        </w:rPr>
        <w:t>24</w:t>
      </w:r>
      <w:r>
        <w:rPr>
          <w:sz w:val="28"/>
          <w:szCs w:val="28"/>
        </w:rPr>
        <w:t xml:space="preserve"> (далее - муниципальная программа), ответственным исполнителем и участниками муниципальной программы в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реализован комплекс мероприятий, в результате которых</w:t>
      </w:r>
      <w:r w:rsidR="002C3898">
        <w:rPr>
          <w:sz w:val="28"/>
          <w:szCs w:val="28"/>
        </w:rPr>
        <w:t xml:space="preserve"> достигнуты следующие результаты</w:t>
      </w:r>
      <w:r>
        <w:rPr>
          <w:sz w:val="28"/>
          <w:szCs w:val="28"/>
        </w:rPr>
        <w:t>:</w:t>
      </w:r>
    </w:p>
    <w:p w:rsidR="00DD62B4" w:rsidRDefault="003641FA" w:rsidP="006839A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39AB">
        <w:rPr>
          <w:sz w:val="28"/>
          <w:szCs w:val="28"/>
        </w:rPr>
        <w:t>с</w:t>
      </w:r>
      <w:r w:rsidR="006839AB" w:rsidRPr="001B4AE0">
        <w:rPr>
          <w:sz w:val="28"/>
          <w:szCs w:val="28"/>
        </w:rPr>
        <w:t>тимулирование энергосбережения, обеспечивающее, в том числе снижение объемов</w:t>
      </w:r>
      <w:r w:rsidR="006839AB">
        <w:rPr>
          <w:sz w:val="28"/>
          <w:szCs w:val="28"/>
        </w:rPr>
        <w:t xml:space="preserve"> </w:t>
      </w:r>
      <w:r w:rsidR="006839AB" w:rsidRPr="001B4AE0">
        <w:rPr>
          <w:sz w:val="28"/>
          <w:szCs w:val="28"/>
        </w:rPr>
        <w:t>потребления тепловой энергии, потребленной муниципальными учреждениями к 2030 году не менее чем на 10 процентов в сравнении с 2019 годом</w:t>
      </w:r>
      <w:r w:rsidR="006839AB">
        <w:rPr>
          <w:sz w:val="28"/>
          <w:szCs w:val="28"/>
        </w:rPr>
        <w:t>.</w:t>
      </w:r>
    </w:p>
    <w:p w:rsidR="006839AB" w:rsidRDefault="006839AB" w:rsidP="006839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р</w:t>
      </w:r>
      <w:r w:rsidRPr="00AB6317">
        <w:rPr>
          <w:rFonts w:eastAsiaTheme="minorEastAsia"/>
          <w:sz w:val="28"/>
          <w:szCs w:val="28"/>
        </w:rPr>
        <w:t>азвитие электрических сетей, сетей наружного (уличного) освещения и газотранспортной системы (к 2030 году увеличение доли фактически освещенных улиц в </w:t>
      </w:r>
      <w:r>
        <w:rPr>
          <w:rFonts w:eastAsiaTheme="minorEastAsia"/>
          <w:sz w:val="28"/>
          <w:szCs w:val="28"/>
        </w:rPr>
        <w:t>Литвиновском сельском поселении</w:t>
      </w:r>
      <w:r w:rsidRPr="00AB6317">
        <w:rPr>
          <w:rFonts w:eastAsiaTheme="minorEastAsia"/>
          <w:sz w:val="28"/>
          <w:szCs w:val="28"/>
        </w:rPr>
        <w:t xml:space="preserve"> до </w:t>
      </w:r>
      <w:r>
        <w:rPr>
          <w:rFonts w:eastAsiaTheme="minorEastAsia"/>
          <w:sz w:val="28"/>
          <w:szCs w:val="28"/>
        </w:rPr>
        <w:t>17</w:t>
      </w:r>
      <w:r w:rsidRPr="00AB6317">
        <w:rPr>
          <w:rFonts w:eastAsiaTheme="minorEastAsia"/>
          <w:sz w:val="28"/>
          <w:szCs w:val="28"/>
        </w:rPr>
        <w:t xml:space="preserve"> процентов)</w:t>
      </w:r>
      <w:r>
        <w:rPr>
          <w:rFonts w:eastAsiaTheme="minorEastAsia"/>
          <w:sz w:val="28"/>
          <w:szCs w:val="28"/>
        </w:rPr>
        <w:t>.</w:t>
      </w:r>
    </w:p>
    <w:p w:rsidR="006839AB" w:rsidRPr="006839AB" w:rsidRDefault="006839AB" w:rsidP="006839A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2. Меры по реализации муниципальной программы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2025 году в муниципальную долгосрочную целевую программу </w:t>
      </w:r>
      <w:r>
        <w:rPr>
          <w:sz w:val="28"/>
          <w:szCs w:val="28"/>
        </w:rPr>
        <w:t>«</w:t>
      </w:r>
      <w:r w:rsidR="006839AB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 вносились изменения:</w:t>
      </w: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от </w:t>
      </w:r>
      <w:r w:rsidR="006839AB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6839AB">
        <w:rPr>
          <w:sz w:val="28"/>
          <w:szCs w:val="28"/>
        </w:rPr>
        <w:t>9</w:t>
      </w:r>
      <w:r>
        <w:rPr>
          <w:sz w:val="28"/>
          <w:szCs w:val="28"/>
        </w:rPr>
        <w:t xml:space="preserve">.2025 № </w:t>
      </w:r>
      <w:r w:rsidR="006839AB">
        <w:rPr>
          <w:sz w:val="28"/>
          <w:szCs w:val="28"/>
        </w:rPr>
        <w:t>114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r w:rsidR="00EC2D44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B96962">
        <w:rPr>
          <w:sz w:val="28"/>
          <w:szCs w:val="28"/>
        </w:rPr>
        <w:t>30</w:t>
      </w:r>
      <w:r>
        <w:rPr>
          <w:sz w:val="28"/>
          <w:szCs w:val="28"/>
        </w:rPr>
        <w:t>.11.201</w:t>
      </w:r>
      <w:r w:rsidR="00B96962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№ </w:t>
      </w:r>
      <w:r w:rsidR="00EC2D44">
        <w:rPr>
          <w:sz w:val="28"/>
          <w:szCs w:val="28"/>
        </w:rPr>
        <w:t>1</w:t>
      </w:r>
      <w:r w:rsidR="00B96962">
        <w:rPr>
          <w:sz w:val="28"/>
          <w:szCs w:val="28"/>
        </w:rPr>
        <w:t>2</w:t>
      </w:r>
      <w:r w:rsidR="00BD1BEA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- 31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12</w:t>
      </w:r>
      <w:r w:rsidR="00BD1BEA">
        <w:rPr>
          <w:sz w:val="28"/>
          <w:szCs w:val="28"/>
        </w:rPr>
        <w:t>9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</w:t>
      </w:r>
      <w:r w:rsidR="00B96962">
        <w:rPr>
          <w:sz w:val="28"/>
          <w:szCs w:val="28"/>
        </w:rPr>
        <w:t>30</w:t>
      </w:r>
      <w:r w:rsidRPr="008553E5">
        <w:rPr>
          <w:sz w:val="28"/>
          <w:szCs w:val="28"/>
        </w:rPr>
        <w:t>.11.201</w:t>
      </w:r>
      <w:r w:rsidR="00B96962">
        <w:rPr>
          <w:sz w:val="28"/>
          <w:szCs w:val="28"/>
        </w:rPr>
        <w:t xml:space="preserve">8 </w:t>
      </w:r>
      <w:r w:rsidRPr="008553E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96962">
        <w:rPr>
          <w:sz w:val="28"/>
          <w:szCs w:val="28"/>
        </w:rPr>
        <w:t>2</w:t>
      </w:r>
      <w:r w:rsidR="00BD1BEA">
        <w:rPr>
          <w:sz w:val="28"/>
          <w:szCs w:val="28"/>
        </w:rPr>
        <w:t>4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2D44" w:rsidRDefault="00EC2D4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5BE6" w:rsidRP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E65FF1" w:rsidRDefault="00E65FF1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6962" w:rsidRDefault="00B96962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6962" w:rsidRDefault="00B96962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6962" w:rsidRDefault="00B96962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6962" w:rsidRDefault="00B96962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Раздел </w:t>
      </w:r>
      <w:r w:rsidR="00DD62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Сведения об исполнении бюджетных ассигнований и внебюджетных средств на реализацию муниципальной программы</w:t>
      </w:r>
    </w:p>
    <w:p w:rsidR="00995BE6" w:rsidRDefault="00995BE6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6962" w:rsidRDefault="00B96962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– </w:t>
      </w:r>
      <w:r w:rsidR="00BD1BEA">
        <w:rPr>
          <w:sz w:val="28"/>
          <w:szCs w:val="28"/>
        </w:rPr>
        <w:t>120,0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bookmarkStart w:id="1" w:name="_Hlk126311680"/>
      <w:r>
        <w:rPr>
          <w:sz w:val="28"/>
          <w:szCs w:val="28"/>
        </w:rPr>
        <w:t xml:space="preserve">местный бюджет – </w:t>
      </w:r>
      <w:r w:rsidR="00BD1BEA">
        <w:rPr>
          <w:sz w:val="28"/>
          <w:szCs w:val="28"/>
        </w:rPr>
        <w:t>120,0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</w:t>
      </w:r>
      <w:bookmarkEnd w:id="1"/>
      <w:r>
        <w:rPr>
          <w:sz w:val="28"/>
          <w:szCs w:val="28"/>
        </w:rPr>
        <w:t>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составил </w:t>
      </w:r>
      <w:r w:rsidR="00BD1BEA">
        <w:rPr>
          <w:sz w:val="28"/>
          <w:szCs w:val="28"/>
        </w:rPr>
        <w:t>120,0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BD1BEA">
        <w:rPr>
          <w:sz w:val="28"/>
          <w:szCs w:val="28"/>
        </w:rPr>
        <w:t>120,0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D1BEA">
        <w:rPr>
          <w:sz w:val="28"/>
          <w:szCs w:val="28"/>
        </w:rPr>
        <w:t>120,0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BD1BEA">
        <w:rPr>
          <w:sz w:val="28"/>
          <w:szCs w:val="28"/>
        </w:rPr>
        <w:t>119,8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D1BEA">
        <w:rPr>
          <w:sz w:val="28"/>
          <w:szCs w:val="28"/>
        </w:rPr>
        <w:t>119,8</w:t>
      </w:r>
      <w:r>
        <w:rPr>
          <w:sz w:val="28"/>
          <w:szCs w:val="28"/>
        </w:rPr>
        <w:t>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рублей.</w:t>
      </w:r>
    </w:p>
    <w:p w:rsidR="00995BE6" w:rsidRDefault="00995BE6" w:rsidP="00B96962">
      <w:pPr>
        <w:spacing w:line="244" w:lineRule="auto"/>
        <w:jc w:val="both"/>
        <w:rPr>
          <w:sz w:val="28"/>
          <w:szCs w:val="28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приведены в приложении № 2 к отчёту о реализации муниципальной программы.</w:t>
      </w:r>
    </w:p>
    <w:p w:rsidR="00995BE6" w:rsidRDefault="00995BE6" w:rsidP="00742FC8">
      <w:pPr>
        <w:spacing w:line="244" w:lineRule="auto"/>
        <w:ind w:firstLine="567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F22AF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F22AF" w:rsidRPr="002A095F" w:rsidRDefault="00AF22AF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Муниципальная программа «</w:t>
      </w:r>
      <w:r w:rsidR="00BD1BEA" w:rsidRPr="006549B7">
        <w:rPr>
          <w:sz w:val="28"/>
          <w:szCs w:val="28"/>
        </w:rPr>
        <w:t>Энергоэффективность и развитие энергетики</w:t>
      </w:r>
      <w:r w:rsidRPr="00334A1E">
        <w:rPr>
          <w:sz w:val="28"/>
        </w:rPr>
        <w:t>» включает в себя следующие структурные элементы:</w:t>
      </w:r>
    </w:p>
    <w:p w:rsidR="00B83ED6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ab/>
      </w:r>
      <w:r w:rsidRPr="00334A1E">
        <w:rPr>
          <w:sz w:val="28"/>
          <w:szCs w:val="28"/>
        </w:rPr>
        <w:t>Комплекс процессных мероприятий «</w:t>
      </w:r>
      <w:r w:rsidR="00BD1BEA" w:rsidRPr="00AD5C48">
        <w:rPr>
          <w:sz w:val="28"/>
          <w:szCs w:val="24"/>
        </w:rPr>
        <w:t xml:space="preserve">Энергосбережение и повышение энергетической эффективности в </w:t>
      </w:r>
      <w:r w:rsidR="00BD1BEA" w:rsidRPr="00AD5C48">
        <w:rPr>
          <w:kern w:val="2"/>
          <w:sz w:val="28"/>
          <w:szCs w:val="28"/>
        </w:rPr>
        <w:t>муниципальных учреждениях</w:t>
      </w:r>
      <w:r w:rsidRPr="00334A1E">
        <w:rPr>
          <w:sz w:val="28"/>
        </w:rPr>
        <w:t>»;</w:t>
      </w:r>
    </w:p>
    <w:p w:rsidR="00B83ED6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  <w:szCs w:val="28"/>
        </w:rPr>
        <w:t>Комплекс процессных мероприятий «</w:t>
      </w:r>
      <w:r w:rsidR="00BD1BEA" w:rsidRPr="005140BA">
        <w:rPr>
          <w:kern w:val="2"/>
          <w:sz w:val="28"/>
          <w:szCs w:val="28"/>
        </w:rPr>
        <w:t>Развитие и модернизация электрических сетей, включая сети уличного освещения</w:t>
      </w:r>
      <w:r w:rsidR="008E2CF7">
        <w:rPr>
          <w:sz w:val="28"/>
        </w:rPr>
        <w:t>»;</w:t>
      </w:r>
    </w:p>
    <w:p w:rsidR="008E2CF7" w:rsidRPr="001C09DA" w:rsidRDefault="008E2CF7" w:rsidP="00742FC8">
      <w:pPr>
        <w:ind w:firstLine="567"/>
        <w:jc w:val="both"/>
        <w:rPr>
          <w:sz w:val="28"/>
        </w:rPr>
      </w:pPr>
      <w:r>
        <w:rPr>
          <w:sz w:val="28"/>
        </w:rPr>
        <w:t>Комплекс процессных мероприятий «</w:t>
      </w:r>
      <w:r w:rsidR="00BD1BEA" w:rsidRPr="005140BA">
        <w:rPr>
          <w:kern w:val="2"/>
          <w:sz w:val="28"/>
          <w:szCs w:val="28"/>
        </w:rPr>
        <w:t>Развитие газотранспортной системы</w:t>
      </w:r>
      <w:r>
        <w:rPr>
          <w:sz w:val="28"/>
        </w:rPr>
        <w:t>».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В рамках муниципальной программы «</w:t>
      </w:r>
      <w:r w:rsidR="00BD1BEA" w:rsidRPr="006549B7">
        <w:rPr>
          <w:sz w:val="28"/>
          <w:szCs w:val="28"/>
        </w:rPr>
        <w:t>Энергоэффективность и развитие энергетики</w:t>
      </w:r>
      <w:r w:rsidRPr="00334A1E">
        <w:rPr>
          <w:sz w:val="28"/>
        </w:rPr>
        <w:t xml:space="preserve">» в 2025 году предусмотрено достижение </w:t>
      </w:r>
      <w:r w:rsidR="00B568A9">
        <w:rPr>
          <w:sz w:val="28"/>
        </w:rPr>
        <w:t xml:space="preserve">2 </w:t>
      </w:r>
      <w:r w:rsidRPr="00334A1E">
        <w:rPr>
          <w:sz w:val="28"/>
        </w:rPr>
        <w:t>показател</w:t>
      </w:r>
      <w:r w:rsidR="00B568A9">
        <w:rPr>
          <w:sz w:val="28"/>
        </w:rPr>
        <w:t>ей</w:t>
      </w:r>
      <w:r w:rsidRPr="00334A1E">
        <w:rPr>
          <w:sz w:val="28"/>
        </w:rPr>
        <w:t xml:space="preserve"> муниципальной программы. 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>Показатели, предусмотренные муниципальной программой на конец года достигнуты</w:t>
      </w:r>
      <w:r w:rsidRPr="00334A1E">
        <w:rPr>
          <w:sz w:val="28"/>
        </w:rPr>
        <w:t>.</w:t>
      </w:r>
    </w:p>
    <w:p w:rsidR="002E177F" w:rsidRPr="00711168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ab/>
        <w:t>На реализацию комплекса процессных мероприятий «</w:t>
      </w:r>
      <w:r w:rsidR="00B568A9" w:rsidRPr="00AD5C48">
        <w:rPr>
          <w:sz w:val="28"/>
          <w:szCs w:val="24"/>
        </w:rPr>
        <w:t xml:space="preserve">Энергосбережение и повышение энергетической эффективности в </w:t>
      </w:r>
      <w:r w:rsidR="00B568A9" w:rsidRPr="00AD5C48">
        <w:rPr>
          <w:kern w:val="2"/>
          <w:sz w:val="28"/>
          <w:szCs w:val="28"/>
        </w:rPr>
        <w:t>муниципальных учреждениях</w:t>
      </w:r>
      <w:r w:rsidRPr="00334A1E">
        <w:rPr>
          <w:sz w:val="28"/>
        </w:rPr>
        <w:t xml:space="preserve">» в 2025 году муниципальной программой </w:t>
      </w:r>
      <w:r w:rsidR="00DB4EC5">
        <w:rPr>
          <w:sz w:val="28"/>
        </w:rPr>
        <w:t xml:space="preserve">предусмотрено </w:t>
      </w:r>
      <w:r w:rsidR="00B97CDF">
        <w:rPr>
          <w:sz w:val="28"/>
        </w:rPr>
        <w:t>20,0</w:t>
      </w:r>
      <w:r w:rsidR="00DB4EC5">
        <w:rPr>
          <w:sz w:val="28"/>
        </w:rPr>
        <w:t xml:space="preserve"> тыс.рублей, сводной </w:t>
      </w:r>
      <w:r w:rsidR="00DB4EC5">
        <w:rPr>
          <w:sz w:val="28"/>
        </w:rPr>
        <w:lastRenderedPageBreak/>
        <w:t>бюджетной росписью-</w:t>
      </w:r>
      <w:r w:rsidR="00B97CDF">
        <w:rPr>
          <w:sz w:val="28"/>
        </w:rPr>
        <w:t xml:space="preserve">20,0 </w:t>
      </w:r>
      <w:r w:rsidR="00DB4EC5">
        <w:rPr>
          <w:sz w:val="28"/>
        </w:rPr>
        <w:t>тыс.рублей. Фактическое</w:t>
      </w:r>
      <w:r w:rsidR="009E75A4">
        <w:rPr>
          <w:sz w:val="28"/>
        </w:rPr>
        <w:t xml:space="preserve"> освоение средств по итогам 12 месяцев 2025 года составило </w:t>
      </w:r>
      <w:r w:rsidR="00B97CDF">
        <w:rPr>
          <w:sz w:val="28"/>
        </w:rPr>
        <w:t>20,0</w:t>
      </w:r>
      <w:r w:rsidR="009E75A4">
        <w:rPr>
          <w:sz w:val="28"/>
        </w:rPr>
        <w:t xml:space="preserve"> тыс.рублей   или 100 процентов.   </w:t>
      </w:r>
    </w:p>
    <w:p w:rsidR="00B83ED6" w:rsidRDefault="002E177F" w:rsidP="00742FC8">
      <w:pPr>
        <w:ind w:firstLine="567"/>
        <w:jc w:val="both"/>
        <w:rPr>
          <w:sz w:val="28"/>
        </w:rPr>
      </w:pPr>
      <w:r>
        <w:rPr>
          <w:sz w:val="28"/>
        </w:rPr>
        <w:t>На реализацию ко</w:t>
      </w:r>
      <w:r w:rsidR="0075124B">
        <w:rPr>
          <w:sz w:val="28"/>
        </w:rPr>
        <w:t>мплекса процессных мероприятий «</w:t>
      </w:r>
      <w:r w:rsidR="00B97CDF" w:rsidRPr="005140BA">
        <w:rPr>
          <w:kern w:val="2"/>
          <w:sz w:val="28"/>
          <w:szCs w:val="28"/>
        </w:rPr>
        <w:t>Развитие и модернизация электрических сетей, включая сети уличного освещения</w:t>
      </w:r>
      <w:r>
        <w:rPr>
          <w:sz w:val="28"/>
        </w:rPr>
        <w:t xml:space="preserve">» в 2025 году муниципальной программой предусмотрено </w:t>
      </w:r>
      <w:r w:rsidR="00B97CDF">
        <w:rPr>
          <w:sz w:val="28"/>
        </w:rPr>
        <w:t>100,0</w:t>
      </w:r>
      <w:r>
        <w:rPr>
          <w:sz w:val="28"/>
        </w:rPr>
        <w:t xml:space="preserve"> тыс.рублей, сводной бюджетной росписью – </w:t>
      </w:r>
      <w:r w:rsidR="00B97CDF">
        <w:rPr>
          <w:sz w:val="28"/>
        </w:rPr>
        <w:t>100,0</w:t>
      </w:r>
      <w:r>
        <w:rPr>
          <w:sz w:val="28"/>
        </w:rPr>
        <w:t xml:space="preserve"> тыс.рублей. Фактическое освоение средств по итогам 12 месяцев 2</w:t>
      </w:r>
      <w:r w:rsidR="00B97CDF">
        <w:rPr>
          <w:sz w:val="28"/>
        </w:rPr>
        <w:t>0</w:t>
      </w:r>
      <w:r>
        <w:rPr>
          <w:sz w:val="28"/>
        </w:rPr>
        <w:t xml:space="preserve">25 года составило </w:t>
      </w:r>
      <w:r w:rsidR="00B97CDF">
        <w:rPr>
          <w:sz w:val="28"/>
        </w:rPr>
        <w:t>119,8</w:t>
      </w:r>
      <w:r>
        <w:rPr>
          <w:sz w:val="28"/>
        </w:rPr>
        <w:t xml:space="preserve"> тыс.</w:t>
      </w:r>
      <w:r w:rsidR="00425B5F">
        <w:rPr>
          <w:sz w:val="28"/>
        </w:rPr>
        <w:t xml:space="preserve"> рублей или </w:t>
      </w:r>
      <w:r w:rsidR="00B97CDF">
        <w:rPr>
          <w:sz w:val="28"/>
        </w:rPr>
        <w:t>99,8</w:t>
      </w:r>
      <w:r w:rsidR="00425B5F">
        <w:rPr>
          <w:sz w:val="28"/>
        </w:rPr>
        <w:t xml:space="preserve"> процентов.</w:t>
      </w:r>
      <w:r w:rsidR="009E75A4">
        <w:rPr>
          <w:sz w:val="28"/>
        </w:rPr>
        <w:t xml:space="preserve">    </w:t>
      </w:r>
    </w:p>
    <w:p w:rsidR="0082410F" w:rsidRPr="00334A1E" w:rsidRDefault="0082410F" w:rsidP="00742FC8">
      <w:pPr>
        <w:ind w:firstLine="567"/>
        <w:jc w:val="both"/>
        <w:rPr>
          <w:sz w:val="28"/>
        </w:rPr>
      </w:pPr>
      <w:r>
        <w:rPr>
          <w:sz w:val="28"/>
        </w:rPr>
        <w:t>На реализацию комплекса процессных мероприятий «</w:t>
      </w:r>
      <w:r w:rsidR="00B97CDF" w:rsidRPr="005140BA">
        <w:rPr>
          <w:kern w:val="2"/>
          <w:sz w:val="28"/>
          <w:szCs w:val="28"/>
        </w:rPr>
        <w:t>Развитие газотранспортной системы</w:t>
      </w:r>
      <w:r>
        <w:rPr>
          <w:sz w:val="28"/>
        </w:rPr>
        <w:t xml:space="preserve">» в 2025 году муниципальной программой предусмотрено 0,0 тыс.рублей, сводной бюджетной росписью – 0,0 тыс.рублей. Фактическое освоение средств по итогам 12 месяцев 225 года составило 0,0 тыс. рублей или 0 процентов.    </w:t>
      </w:r>
    </w:p>
    <w:p w:rsidR="00B83ED6" w:rsidRPr="008F49C8" w:rsidRDefault="00B83ED6" w:rsidP="008F49C8">
      <w:pPr>
        <w:shd w:val="clear" w:color="auto" w:fill="FFFFFF" w:themeFill="background1"/>
        <w:ind w:firstLine="567"/>
        <w:jc w:val="both"/>
        <w:rPr>
          <w:sz w:val="28"/>
        </w:rPr>
      </w:pPr>
      <w:r w:rsidRPr="008F49C8">
        <w:rPr>
          <w:sz w:val="28"/>
        </w:rPr>
        <w:t>Достижение задач комплекса процессных мероприятий «</w:t>
      </w:r>
      <w:r w:rsidR="00B97CDF" w:rsidRPr="00AD5C48">
        <w:rPr>
          <w:sz w:val="28"/>
          <w:szCs w:val="24"/>
        </w:rPr>
        <w:t xml:space="preserve">Энергосбережение и повышение энергетической эффективности в </w:t>
      </w:r>
      <w:r w:rsidR="00B97CDF" w:rsidRPr="00AD5C48">
        <w:rPr>
          <w:kern w:val="2"/>
          <w:sz w:val="28"/>
          <w:szCs w:val="28"/>
        </w:rPr>
        <w:t>муниципальных учреждениях</w:t>
      </w:r>
      <w:r w:rsidRPr="008F49C8">
        <w:rPr>
          <w:sz w:val="28"/>
        </w:rPr>
        <w:t xml:space="preserve">» оценивается на основании </w:t>
      </w:r>
      <w:r w:rsidR="00BF506A">
        <w:rPr>
          <w:sz w:val="28"/>
        </w:rPr>
        <w:t xml:space="preserve">2 </w:t>
      </w:r>
      <w:r w:rsidRPr="008F49C8">
        <w:rPr>
          <w:sz w:val="28"/>
        </w:rPr>
        <w:t>контрольных точек.</w:t>
      </w:r>
    </w:p>
    <w:p w:rsidR="00B83ED6" w:rsidRPr="008F49C8" w:rsidRDefault="00B83ED6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По итогам </w:t>
      </w:r>
      <w:r w:rsidR="00A107F4" w:rsidRPr="008F49C8">
        <w:rPr>
          <w:sz w:val="28"/>
        </w:rPr>
        <w:t>12</w:t>
      </w:r>
      <w:r w:rsidRPr="008F49C8">
        <w:rPr>
          <w:sz w:val="28"/>
        </w:rPr>
        <w:t xml:space="preserve"> месяцев 2025 года достигнуты </w:t>
      </w:r>
      <w:r w:rsidR="00BF506A">
        <w:rPr>
          <w:sz w:val="28"/>
        </w:rPr>
        <w:t>2</w:t>
      </w:r>
      <w:r w:rsidR="00936A1B" w:rsidRPr="008F49C8">
        <w:rPr>
          <w:sz w:val="28"/>
        </w:rPr>
        <w:t xml:space="preserve"> контрольны</w:t>
      </w:r>
      <w:r w:rsidR="00BF506A">
        <w:rPr>
          <w:sz w:val="28"/>
        </w:rPr>
        <w:t>е</w:t>
      </w:r>
      <w:r w:rsidR="00936A1B" w:rsidRPr="008F49C8">
        <w:rPr>
          <w:sz w:val="28"/>
        </w:rPr>
        <w:t xml:space="preserve"> точ</w:t>
      </w:r>
      <w:r w:rsidR="00BF506A">
        <w:rPr>
          <w:sz w:val="28"/>
        </w:rPr>
        <w:t>ки</w:t>
      </w:r>
      <w:r w:rsidR="00936A1B" w:rsidRPr="008F49C8">
        <w:rPr>
          <w:sz w:val="28"/>
        </w:rPr>
        <w:t>.</w:t>
      </w:r>
    </w:p>
    <w:p w:rsidR="00936A1B" w:rsidRPr="00396DFD" w:rsidRDefault="00936A1B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На территории Литвиновского сельского поселения </w:t>
      </w:r>
      <w:r w:rsidR="001C09DA" w:rsidRPr="00396DFD">
        <w:rPr>
          <w:sz w:val="28"/>
        </w:rPr>
        <w:t>выполнены следующие мероприятия</w:t>
      </w:r>
      <w:r w:rsidRPr="00396DFD">
        <w:rPr>
          <w:sz w:val="28"/>
        </w:rPr>
        <w:t>:</w:t>
      </w:r>
    </w:p>
    <w:p w:rsidR="00936A1B" w:rsidRPr="00396DFD" w:rsidRDefault="00936A1B" w:rsidP="001C09DA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96DFD">
        <w:rPr>
          <w:sz w:val="28"/>
        </w:rPr>
        <w:t xml:space="preserve">- </w:t>
      </w:r>
      <w:r w:rsidR="00BF506A">
        <w:rPr>
          <w:sz w:val="28"/>
          <w:szCs w:val="28"/>
        </w:rPr>
        <w:t>Заключен муниципальный контракт №44 от 26.06.2025г на приобретение запасных частей для ремонта точек уличного освещения</w:t>
      </w:r>
      <w:r w:rsidR="001C09DA" w:rsidRPr="00396DFD">
        <w:rPr>
          <w:sz w:val="28"/>
          <w:szCs w:val="28"/>
        </w:rPr>
        <w:t xml:space="preserve"> на сумму </w:t>
      </w:r>
      <w:r w:rsidR="00BF506A">
        <w:rPr>
          <w:sz w:val="28"/>
          <w:szCs w:val="28"/>
        </w:rPr>
        <w:t>9,99</w:t>
      </w:r>
      <w:r w:rsidR="001C09DA" w:rsidRPr="00396DFD">
        <w:rPr>
          <w:sz w:val="28"/>
          <w:szCs w:val="28"/>
        </w:rPr>
        <w:t xml:space="preserve"> тыс. рублей.</w:t>
      </w:r>
      <w:r w:rsidRPr="00396DFD">
        <w:rPr>
          <w:sz w:val="28"/>
        </w:rPr>
        <w:t>;</w:t>
      </w:r>
    </w:p>
    <w:p w:rsidR="00936A1B" w:rsidRPr="00396DFD" w:rsidRDefault="00936A1B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- </w:t>
      </w:r>
      <w:r w:rsidR="00BF506A">
        <w:rPr>
          <w:sz w:val="28"/>
          <w:szCs w:val="28"/>
        </w:rPr>
        <w:t>Заключен муниципальный контракт №58 от 08.10.2025г на приобретение запасных частей для ремонта точек уличного освещения</w:t>
      </w:r>
      <w:r w:rsidR="00BF506A" w:rsidRPr="00396DFD">
        <w:rPr>
          <w:sz w:val="28"/>
          <w:szCs w:val="28"/>
        </w:rPr>
        <w:t xml:space="preserve"> на сумму </w:t>
      </w:r>
      <w:r w:rsidR="00BF506A">
        <w:rPr>
          <w:sz w:val="28"/>
          <w:szCs w:val="28"/>
        </w:rPr>
        <w:t>9,97</w:t>
      </w:r>
      <w:r w:rsidR="00BF506A" w:rsidRPr="00396DFD">
        <w:rPr>
          <w:sz w:val="28"/>
          <w:szCs w:val="28"/>
        </w:rPr>
        <w:t xml:space="preserve"> тыс. рублей</w:t>
      </w:r>
      <w:r w:rsidRPr="00396DFD">
        <w:rPr>
          <w:sz w:val="28"/>
        </w:rPr>
        <w:t>;</w:t>
      </w:r>
    </w:p>
    <w:p w:rsidR="00B83ED6" w:rsidRPr="00396DFD" w:rsidRDefault="00B83ED6" w:rsidP="00396DFD">
      <w:pPr>
        <w:ind w:firstLine="567"/>
        <w:jc w:val="both"/>
        <w:rPr>
          <w:sz w:val="28"/>
        </w:rPr>
      </w:pPr>
      <w:r w:rsidRPr="00396DFD">
        <w:rPr>
          <w:sz w:val="28"/>
        </w:rPr>
        <w:t xml:space="preserve">Достижение задач комплекса процессных мероприятий </w:t>
      </w:r>
      <w:r w:rsidR="001C09DA" w:rsidRPr="00396DFD">
        <w:rPr>
          <w:sz w:val="28"/>
        </w:rPr>
        <w:t>«</w:t>
      </w:r>
      <w:r w:rsidR="00BF506A" w:rsidRPr="005140BA">
        <w:rPr>
          <w:kern w:val="2"/>
          <w:sz w:val="28"/>
          <w:szCs w:val="28"/>
        </w:rPr>
        <w:t>Развитие и модернизация электрических сетей, включая сети уличного освещения</w:t>
      </w:r>
      <w:r w:rsidRPr="00396DFD">
        <w:rPr>
          <w:sz w:val="28"/>
        </w:rPr>
        <w:t>»</w:t>
      </w:r>
      <w:r w:rsidR="001C09DA" w:rsidRPr="00396DFD">
        <w:rPr>
          <w:sz w:val="28"/>
        </w:rPr>
        <w:t xml:space="preserve"> </w:t>
      </w:r>
      <w:r w:rsidRPr="00396DFD">
        <w:rPr>
          <w:sz w:val="28"/>
        </w:rPr>
        <w:t>оценивается</w:t>
      </w:r>
      <w:r w:rsidR="008F49C8" w:rsidRPr="00396DFD">
        <w:rPr>
          <w:sz w:val="28"/>
        </w:rPr>
        <w:t xml:space="preserve"> </w:t>
      </w:r>
      <w:r w:rsidRPr="00396DFD">
        <w:rPr>
          <w:sz w:val="28"/>
        </w:rPr>
        <w:t xml:space="preserve">на основании </w:t>
      </w:r>
      <w:r w:rsidR="00691BC5">
        <w:rPr>
          <w:sz w:val="28"/>
        </w:rPr>
        <w:t>3</w:t>
      </w:r>
      <w:r w:rsidRPr="00396DFD">
        <w:rPr>
          <w:sz w:val="28"/>
        </w:rPr>
        <w:t xml:space="preserve"> контрольны</w:t>
      </w:r>
      <w:r w:rsidR="008F49C8" w:rsidRPr="00396DFD">
        <w:rPr>
          <w:sz w:val="28"/>
        </w:rPr>
        <w:t>х</w:t>
      </w:r>
      <w:r w:rsidRPr="00396DFD">
        <w:rPr>
          <w:sz w:val="28"/>
        </w:rPr>
        <w:t xml:space="preserve"> точ</w:t>
      </w:r>
      <w:r w:rsidR="008F49C8" w:rsidRPr="00396DFD">
        <w:rPr>
          <w:sz w:val="28"/>
        </w:rPr>
        <w:t>ек</w:t>
      </w:r>
      <w:r w:rsidRPr="00396DFD">
        <w:rPr>
          <w:sz w:val="28"/>
        </w:rPr>
        <w:t>.</w:t>
      </w:r>
    </w:p>
    <w:p w:rsidR="008F49C8" w:rsidRPr="00396DFD" w:rsidRDefault="00B83ED6" w:rsidP="00691BC5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По итогам </w:t>
      </w:r>
      <w:r w:rsidR="00A107F4" w:rsidRPr="00396DFD">
        <w:rPr>
          <w:sz w:val="28"/>
        </w:rPr>
        <w:t>12</w:t>
      </w:r>
      <w:r w:rsidRPr="00396DFD">
        <w:rPr>
          <w:sz w:val="28"/>
        </w:rPr>
        <w:t xml:space="preserve"> месяцев 2025года достигнут</w:t>
      </w:r>
      <w:r w:rsidR="008F49C8" w:rsidRPr="00396DFD">
        <w:rPr>
          <w:sz w:val="28"/>
        </w:rPr>
        <w:t>ы</w:t>
      </w:r>
      <w:r w:rsidRPr="00396DFD">
        <w:rPr>
          <w:sz w:val="28"/>
        </w:rPr>
        <w:t xml:space="preserve"> </w:t>
      </w:r>
      <w:r w:rsidR="00691BC5">
        <w:rPr>
          <w:sz w:val="28"/>
        </w:rPr>
        <w:t>3</w:t>
      </w:r>
      <w:r w:rsidRPr="00396DFD">
        <w:rPr>
          <w:sz w:val="28"/>
        </w:rPr>
        <w:t xml:space="preserve"> контрольны</w:t>
      </w:r>
      <w:r w:rsidR="00691BC5">
        <w:rPr>
          <w:sz w:val="28"/>
        </w:rPr>
        <w:t>е</w:t>
      </w:r>
      <w:r w:rsidRPr="00396DFD">
        <w:rPr>
          <w:sz w:val="28"/>
        </w:rPr>
        <w:t xml:space="preserve"> точки по каждому мероприятию:</w:t>
      </w:r>
    </w:p>
    <w:p w:rsidR="00691BC5" w:rsidRDefault="00691BC5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</w:rPr>
      </w:pPr>
      <w:r w:rsidRPr="00396DFD">
        <w:rPr>
          <w:sz w:val="28"/>
        </w:rPr>
        <w:t xml:space="preserve">- </w:t>
      </w:r>
      <w:r>
        <w:rPr>
          <w:sz w:val="28"/>
          <w:szCs w:val="28"/>
        </w:rPr>
        <w:t>Заключен муниципальный контракт №47 от 08.07.2025г на приобретение запасных частей для ремонта точек уличного освещения</w:t>
      </w:r>
      <w:r w:rsidRPr="00396DFD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9,98</w:t>
      </w:r>
      <w:r w:rsidRPr="00396DFD">
        <w:rPr>
          <w:sz w:val="28"/>
          <w:szCs w:val="28"/>
        </w:rPr>
        <w:t xml:space="preserve"> тыс. рублей</w:t>
      </w:r>
      <w:r>
        <w:rPr>
          <w:sz w:val="28"/>
        </w:rPr>
        <w:t>.</w:t>
      </w:r>
    </w:p>
    <w:p w:rsidR="00691BC5" w:rsidRDefault="00691BC5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96DFD">
        <w:rPr>
          <w:sz w:val="28"/>
        </w:rPr>
        <w:t xml:space="preserve">- </w:t>
      </w:r>
      <w:r>
        <w:rPr>
          <w:sz w:val="28"/>
          <w:szCs w:val="28"/>
        </w:rPr>
        <w:t>Заключен муниципальный контракт №59 от 09.10.2025г на приобретение запасных частей для ремонта точек уличного освещения</w:t>
      </w:r>
      <w:r w:rsidRPr="00396DFD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4,99</w:t>
      </w:r>
      <w:r w:rsidRPr="00396DF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691BC5" w:rsidRPr="00691BC5" w:rsidRDefault="00691BC5" w:rsidP="00691BC5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-Заключен договор с ПАО «Россети -Юг» от 12.08.2025г на техническое обслуживание сетей наружного освещения на сумму 50,85 тыс.руб. и договор от 19.05.2025г на сумму 34,0 тыс.рублей.</w:t>
      </w:r>
    </w:p>
    <w:p w:rsidR="00AF22AF" w:rsidRDefault="00B83ED6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</w:rPr>
      </w:pPr>
      <w:r w:rsidRPr="00EF3417">
        <w:rPr>
          <w:sz w:val="28"/>
        </w:rPr>
        <w:t xml:space="preserve">В ходе анализа исполнения муниципальной программы не установлено несоблюдение сроков исполнения мероприятий (результатов) и </w:t>
      </w:r>
      <w:r w:rsidR="00AF22AF" w:rsidRPr="00EF3417">
        <w:rPr>
          <w:sz w:val="28"/>
        </w:rPr>
        <w:t xml:space="preserve">показатели, предусмотренные муниципальной программой на конец </w:t>
      </w:r>
      <w:r w:rsidR="000427B9" w:rsidRPr="00EF3417">
        <w:rPr>
          <w:sz w:val="28"/>
        </w:rPr>
        <w:t>2025 года</w:t>
      </w:r>
      <w:r w:rsidR="00AF22AF" w:rsidRPr="00EF3417">
        <w:rPr>
          <w:sz w:val="28"/>
        </w:rPr>
        <w:t xml:space="preserve"> достигнуты.</w:t>
      </w:r>
    </w:p>
    <w:p w:rsidR="00691BC5" w:rsidRPr="00396DFD" w:rsidRDefault="00691BC5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95BE6" w:rsidRDefault="00EF3417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95BE6" w:rsidSect="00742FC8">
          <w:pgSz w:w="11907" w:h="16840"/>
          <w:pgMar w:top="1134" w:right="567" w:bottom="1134" w:left="1276" w:header="397" w:footer="567" w:gutter="0"/>
          <w:cols w:space="708"/>
          <w:titlePg/>
          <w:docGrid w:linePitch="326"/>
        </w:sectPr>
      </w:pPr>
      <w:r>
        <w:rPr>
          <w:sz w:val="28"/>
          <w:szCs w:val="28"/>
        </w:rPr>
        <w:t xml:space="preserve">Ведущий специалист </w:t>
      </w:r>
      <w:r w:rsidR="001B26F0">
        <w:rPr>
          <w:sz w:val="28"/>
          <w:szCs w:val="28"/>
        </w:rPr>
        <w:t xml:space="preserve">     О.И.Романенко</w:t>
      </w:r>
    </w:p>
    <w:tbl>
      <w:tblPr>
        <w:tblW w:w="15309" w:type="dxa"/>
        <w:tblInd w:w="108" w:type="dxa"/>
        <w:tblLook w:val="04A0"/>
      </w:tblPr>
      <w:tblGrid>
        <w:gridCol w:w="15309"/>
      </w:tblGrid>
      <w:tr w:rsidR="00995BE6" w:rsidTr="00D53410">
        <w:trPr>
          <w:trHeight w:val="1700"/>
        </w:trPr>
        <w:tc>
          <w:tcPr>
            <w:tcW w:w="15309" w:type="dxa"/>
          </w:tcPr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2" w:name="Par1520"/>
            <w:bookmarkEnd w:id="2"/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о реализации муниципальной программы</w:t>
            </w:r>
          </w:p>
          <w:p w:rsidR="00995BE6" w:rsidRDefault="003641FA" w:rsidP="00396DFD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91BC5" w:rsidRPr="006549B7">
              <w:rPr>
                <w:sz w:val="28"/>
                <w:szCs w:val="28"/>
              </w:rPr>
              <w:t>Энергоэффективность и развитие энергетики</w:t>
            </w:r>
            <w:r>
              <w:rPr>
                <w:sz w:val="28"/>
                <w:szCs w:val="28"/>
              </w:rPr>
              <w:t>» за 202</w:t>
            </w:r>
            <w:r w:rsidR="00BC4F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СВЕДЕНИЯ</w:t>
      </w: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о выполнении мероприятий (результатов)</w:t>
      </w:r>
    </w:p>
    <w:p w:rsidR="00D53410" w:rsidRDefault="00D53410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3410">
        <w:rPr>
          <w:sz w:val="28"/>
          <w:szCs w:val="28"/>
        </w:rPr>
        <w:t xml:space="preserve">а также контрольных точек муниципальной </w:t>
      </w:r>
      <w:r>
        <w:rPr>
          <w:sz w:val="28"/>
          <w:szCs w:val="28"/>
        </w:rPr>
        <w:t>программы</w:t>
      </w:r>
    </w:p>
    <w:p w:rsidR="00D53410" w:rsidRPr="00D53410" w:rsidRDefault="00D53410" w:rsidP="0050231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91BC5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 за 2025 год</w:t>
      </w: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138"/>
        <w:gridCol w:w="1623"/>
      </w:tblGrid>
      <w:tr w:rsidR="00D53410" w:rsidRPr="00D53410" w:rsidTr="0090489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D53410">
              <w:rPr>
                <w:color w:val="000000"/>
                <w:sz w:val="24"/>
                <w:szCs w:val="24"/>
              </w:rPr>
              <w:br/>
            </w:r>
            <w:hyperlink r:id="rId9" w:anchor="Par1127" w:history="1">
              <w:r w:rsidRPr="00D53410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Фактический срок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D53410">
              <w:rPr>
                <w:color w:val="000000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53410">
              <w:rPr>
                <w:color w:val="000000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3410" w:rsidRPr="00D53410" w:rsidTr="00904897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фактическое значение </w:t>
            </w:r>
            <w:r w:rsidRPr="00D5341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3410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D53410" w:rsidRPr="00D53410" w:rsidTr="00BE63D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E62169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2169">
              <w:rPr>
                <w:sz w:val="24"/>
                <w:szCs w:val="24"/>
              </w:rPr>
              <w:t xml:space="preserve">1. </w:t>
            </w:r>
            <w:r w:rsidR="00D53410" w:rsidRPr="00E62169">
              <w:rPr>
                <w:sz w:val="24"/>
                <w:szCs w:val="24"/>
              </w:rPr>
              <w:t>Комплекс процессных мероприятий «</w:t>
            </w:r>
            <w:r w:rsidR="0003557C" w:rsidRPr="00E62169">
              <w:rPr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r w:rsidR="0003557C" w:rsidRPr="00E62169">
              <w:rPr>
                <w:kern w:val="2"/>
                <w:sz w:val="24"/>
                <w:szCs w:val="24"/>
              </w:rPr>
              <w:t>муниципальных учреждениях</w:t>
            </w:r>
            <w:r w:rsidR="00D53410" w:rsidRPr="00E62169">
              <w:rPr>
                <w:sz w:val="24"/>
                <w:szCs w:val="24"/>
              </w:rPr>
              <w:t>»</w:t>
            </w:r>
          </w:p>
        </w:tc>
      </w:tr>
      <w:tr w:rsidR="00D53410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Мероприятие (результат)1.</w:t>
            </w:r>
            <w:r w:rsidR="0024624C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53410" w:rsidRPr="00D53410" w:rsidRDefault="00D53410" w:rsidP="0050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03557C" w:rsidRPr="0003557C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</w:t>
            </w:r>
            <w:r w:rsidR="0050231E" w:rsidRPr="0003557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03557C" w:rsidRDefault="0003557C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единицы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03557C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815034" w:rsidRDefault="0003557C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</w:t>
            </w:r>
            <w:r w:rsidR="00904897"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034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815034" w:rsidRDefault="00815034" w:rsidP="0024624C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</w:t>
            </w:r>
            <w:r w:rsidR="0024624C">
              <w:rPr>
                <w:sz w:val="24"/>
                <w:szCs w:val="24"/>
              </w:rPr>
              <w:t>3</w:t>
            </w:r>
            <w:r w:rsidRPr="00815034">
              <w:rPr>
                <w:sz w:val="24"/>
                <w:szCs w:val="24"/>
              </w:rPr>
              <w:t>.1. «</w:t>
            </w:r>
            <w:r w:rsidR="0024624C" w:rsidRPr="0024624C">
              <w:rPr>
                <w:sz w:val="24"/>
                <w:szCs w:val="24"/>
              </w:rPr>
              <w:t>Заключение контракта на оказание услуг</w:t>
            </w:r>
            <w:r w:rsidRPr="00815034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24624C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января-30декабря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24624C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января-30декабря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Default="00815034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624C" w:rsidRPr="00D53410" w:rsidTr="00904897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D53410" w:rsidRDefault="0024624C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C" w:rsidRPr="00815034" w:rsidRDefault="0024624C" w:rsidP="0024624C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3.3</w:t>
            </w:r>
            <w:r w:rsidRPr="00815034">
              <w:rPr>
                <w:sz w:val="24"/>
                <w:szCs w:val="24"/>
              </w:rPr>
              <w:t>. «</w:t>
            </w:r>
            <w:r w:rsidRPr="0024624C">
              <w:rPr>
                <w:sz w:val="24"/>
                <w:szCs w:val="24"/>
              </w:rPr>
              <w:t>Выполнение работ в соответствии с условиями контракта</w:t>
            </w:r>
            <w:r w:rsidRPr="00815034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873C08" w:rsidRDefault="0024624C" w:rsidP="00C8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января-30декабря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Default="0024624C" w:rsidP="00C80EE4">
            <w:r>
              <w:rPr>
                <w:sz w:val="24"/>
                <w:szCs w:val="24"/>
              </w:rPr>
              <w:t>10 января-30декабря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D53410" w:rsidRDefault="0024624C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D53410" w:rsidRDefault="0024624C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D53410" w:rsidRDefault="0024624C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Default="0024624C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C" w:rsidRPr="00D53410" w:rsidRDefault="0024624C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EF341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E62169" w:rsidRDefault="00904897" w:rsidP="00904897">
            <w:pPr>
              <w:jc w:val="center"/>
              <w:rPr>
                <w:sz w:val="24"/>
                <w:szCs w:val="24"/>
              </w:rPr>
            </w:pPr>
            <w:r w:rsidRPr="00E62169">
              <w:rPr>
                <w:sz w:val="24"/>
                <w:szCs w:val="24"/>
              </w:rPr>
              <w:t>2.Комплекс процессных мероприятий «</w:t>
            </w:r>
            <w:r w:rsidR="0024624C" w:rsidRPr="00E62169">
              <w:rPr>
                <w:kern w:val="2"/>
                <w:sz w:val="24"/>
                <w:szCs w:val="24"/>
              </w:rPr>
              <w:t>Развитие и модернизация электрических сетей, включая сети уличного освещения</w:t>
            </w:r>
            <w:r w:rsidRPr="00E62169">
              <w:rPr>
                <w:sz w:val="24"/>
                <w:szCs w:val="24"/>
              </w:rPr>
              <w:t>.»</w:t>
            </w:r>
          </w:p>
          <w:p w:rsidR="0001702A" w:rsidRPr="00E62169" w:rsidRDefault="0001702A" w:rsidP="00904897">
            <w:pPr>
              <w:jc w:val="center"/>
              <w:rPr>
                <w:sz w:val="24"/>
                <w:szCs w:val="24"/>
              </w:rPr>
            </w:pPr>
          </w:p>
          <w:p w:rsidR="00904897" w:rsidRPr="00DF6083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01702A" w:rsidRDefault="00432642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Мероприятие (результат) 1.</w:t>
            </w:r>
            <w:r w:rsidR="00C80EE4" w:rsidRPr="00C80EE4">
              <w:rPr>
                <w:sz w:val="24"/>
                <w:szCs w:val="24"/>
              </w:rPr>
              <w:t>2</w:t>
            </w:r>
            <w:r w:rsidRPr="0001702A">
              <w:rPr>
                <w:sz w:val="24"/>
                <w:szCs w:val="24"/>
              </w:rPr>
              <w:t xml:space="preserve"> </w:t>
            </w:r>
          </w:p>
          <w:p w:rsidR="00432642" w:rsidRPr="0001702A" w:rsidRDefault="00432642" w:rsidP="004326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«</w:t>
            </w:r>
            <w:r w:rsidR="00C80EE4" w:rsidRPr="00C80EE4">
              <w:rPr>
                <w:sz w:val="24"/>
                <w:szCs w:val="24"/>
              </w:rPr>
              <w:t>Строительство и реконструкция объектов электрических сетей</w:t>
            </w:r>
            <w:r w:rsidRPr="0001702A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C80EE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815034" w:rsidRDefault="00432642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03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Default="00432642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D4737E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C80EE4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</w:t>
            </w:r>
            <w:r w:rsidR="00C80EE4" w:rsidRPr="00C80EE4">
              <w:rPr>
                <w:sz w:val="24"/>
                <w:szCs w:val="24"/>
              </w:rPr>
              <w:t>2</w:t>
            </w:r>
            <w:r w:rsidRPr="00432642">
              <w:rPr>
                <w:sz w:val="24"/>
                <w:szCs w:val="24"/>
              </w:rPr>
              <w:t>.1. «</w:t>
            </w:r>
            <w:r w:rsidR="00C80EE4" w:rsidRPr="0024624C">
              <w:rPr>
                <w:sz w:val="24"/>
                <w:szCs w:val="24"/>
              </w:rPr>
              <w:t xml:space="preserve">Заключение контракта на </w:t>
            </w:r>
            <w:r w:rsidR="00C80EE4">
              <w:rPr>
                <w:sz w:val="24"/>
                <w:szCs w:val="24"/>
              </w:rPr>
              <w:t>выполнение работ</w:t>
            </w:r>
            <w:r w:rsidRPr="00432642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EE4">
              <w:rPr>
                <w:sz w:val="24"/>
                <w:szCs w:val="24"/>
              </w:rPr>
              <w:t>В соответствии с условиями контракта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EE4">
              <w:rPr>
                <w:sz w:val="24"/>
                <w:szCs w:val="24"/>
              </w:rPr>
              <w:t>В соответствии с условиями контракта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4326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737E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4737E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C80EE4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</w:t>
            </w:r>
            <w:r w:rsidR="00C80EE4">
              <w:rPr>
                <w:sz w:val="24"/>
                <w:szCs w:val="24"/>
              </w:rPr>
              <w:t>2</w:t>
            </w:r>
            <w:r w:rsidRPr="00432642">
              <w:rPr>
                <w:sz w:val="24"/>
                <w:szCs w:val="24"/>
              </w:rPr>
              <w:t>.</w:t>
            </w:r>
            <w:r w:rsidR="00C80EE4">
              <w:rPr>
                <w:sz w:val="24"/>
                <w:szCs w:val="24"/>
              </w:rPr>
              <w:t>4</w:t>
            </w:r>
            <w:r w:rsidRPr="00432642">
              <w:rPr>
                <w:sz w:val="24"/>
                <w:szCs w:val="24"/>
              </w:rPr>
              <w:t>. «</w:t>
            </w:r>
            <w:r w:rsidR="00C80EE4" w:rsidRPr="00C80EE4">
              <w:rPr>
                <w:sz w:val="24"/>
                <w:szCs w:val="24"/>
              </w:rPr>
              <w:t>Завершение работ по строительству или реконструкции объектов электрических сетей</w:t>
            </w:r>
            <w:r w:rsidRPr="00C80EE4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EE4">
              <w:rPr>
                <w:sz w:val="24"/>
                <w:szCs w:val="24"/>
              </w:rPr>
              <w:t>В соответствии с условиями контракта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EE4">
              <w:rPr>
                <w:sz w:val="24"/>
                <w:szCs w:val="24"/>
              </w:rPr>
              <w:t>В соответствии с условиями контракта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432642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E4" w:rsidRPr="0001702A" w:rsidRDefault="00C80EE4" w:rsidP="00C80EE4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3</w:t>
            </w:r>
            <w:r w:rsidRPr="0001702A">
              <w:rPr>
                <w:sz w:val="24"/>
                <w:szCs w:val="24"/>
              </w:rPr>
              <w:t xml:space="preserve"> </w:t>
            </w:r>
          </w:p>
          <w:p w:rsidR="00432642" w:rsidRDefault="00C80EE4" w:rsidP="00C80EE4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«</w:t>
            </w:r>
            <w:r w:rsidRPr="00C80EE4">
              <w:rPr>
                <w:sz w:val="24"/>
                <w:szCs w:val="24"/>
              </w:rPr>
              <w:t>Приобретение оборудования и материалов для развития и восстановления объектов электрических сетей»</w:t>
            </w:r>
          </w:p>
          <w:p w:rsidR="00C80EE4" w:rsidRPr="00432642" w:rsidRDefault="00C80EE4" w:rsidP="00C80E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0EE4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E4" w:rsidRPr="0001702A" w:rsidRDefault="00C80EE4" w:rsidP="00C80EE4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4326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432642">
              <w:rPr>
                <w:sz w:val="24"/>
                <w:szCs w:val="24"/>
              </w:rPr>
              <w:t>. «</w:t>
            </w:r>
            <w:r w:rsidRPr="00C80EE4">
              <w:rPr>
                <w:sz w:val="24"/>
                <w:szCs w:val="24"/>
              </w:rPr>
              <w:t>Заключение контракта на оказание услуг</w:t>
            </w:r>
            <w:r w:rsidRPr="00432642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Ежегодно 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Ежегодно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Pr="00DA2420" w:rsidRDefault="00C80EE4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80EE4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Pr="00D53410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E4" w:rsidRPr="00432642" w:rsidRDefault="00C80EE4" w:rsidP="00C80EE4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4326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32642">
              <w:rPr>
                <w:sz w:val="24"/>
                <w:szCs w:val="24"/>
              </w:rPr>
              <w:t>. «</w:t>
            </w:r>
            <w:r w:rsidRPr="00C80EE4">
              <w:rPr>
                <w:sz w:val="24"/>
                <w:szCs w:val="24"/>
              </w:rPr>
              <w:t>Поставка оборудования и материалов</w:t>
            </w:r>
            <w:r w:rsidRPr="00432642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Ежегодно 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Ежегодно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4" w:rsidRDefault="00C80EE4" w:rsidP="00C80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Pr="00D53410" w:rsidRDefault="00C80EE4" w:rsidP="00EF3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4" w:rsidRPr="00D53410" w:rsidRDefault="00C80EE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highlight w:val="yellow"/>
        </w:rPr>
        <w:sectPr w:rsidR="00995BE6" w:rsidSect="00D53410">
          <w:pgSz w:w="16840" w:h="11907" w:orient="landscape"/>
          <w:pgMar w:top="568" w:right="567" w:bottom="567" w:left="1134" w:header="397" w:footer="567" w:gutter="0"/>
          <w:cols w:space="708"/>
          <w:titlePg/>
          <w:docGrid w:linePitch="326"/>
        </w:sectPr>
      </w:pP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995BE6" w:rsidRDefault="003641FA" w:rsidP="00396DFD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="00F04D87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 xml:space="preserve">» за </w:t>
      </w:r>
      <w:r w:rsidR="00BC4FF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EF3417">
        <w:rPr>
          <w:rFonts w:eastAsia="Calibri"/>
          <w:sz w:val="24"/>
          <w:szCs w:val="24"/>
          <w:lang w:eastAsia="en-US"/>
        </w:rPr>
        <w:t>СВЕДЕНИЯ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F341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EF3417" w:rsidRDefault="00EF3417" w:rsidP="00EF34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3417">
        <w:rPr>
          <w:rFonts w:eastAsia="Calibri"/>
          <w:sz w:val="28"/>
          <w:szCs w:val="28"/>
          <w:lang w:eastAsia="en-US"/>
        </w:rPr>
        <w:t>муниципальной</w:t>
      </w:r>
      <w:r w:rsidRPr="00EF3417">
        <w:rPr>
          <w:sz w:val="28"/>
          <w:szCs w:val="28"/>
        </w:rPr>
        <w:t xml:space="preserve"> </w:t>
      </w:r>
      <w:r w:rsidRPr="00D53410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EF3417" w:rsidRPr="00D53410" w:rsidRDefault="00EF3417" w:rsidP="00396DF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F04D87"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 за 2025 год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EF3417" w:rsidRPr="00EF3417" w:rsidTr="00EF3417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Наименование муниципальной(комплексной)программы,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Фактические </w:t>
            </w:r>
            <w:r w:rsidRPr="00EF3417">
              <w:rPr>
                <w:sz w:val="24"/>
                <w:szCs w:val="24"/>
              </w:rPr>
              <w:br/>
              <w:t>расходы (тыс. рублей),</w:t>
            </w:r>
            <w:r w:rsidRPr="00EF3417">
              <w:rPr>
                <w:sz w:val="24"/>
                <w:szCs w:val="24"/>
              </w:rPr>
              <w:br/>
            </w:r>
            <w:r w:rsidRPr="00EF3417">
              <w:rPr>
                <w:rFonts w:cs="Calibri"/>
                <w:bCs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EF3417">
              <w:rPr>
                <w:rFonts w:cs="Calibri"/>
                <w:bCs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Примечания </w:t>
            </w:r>
            <w:r w:rsidRPr="00EF3417">
              <w:rPr>
                <w:rFonts w:cs="Calibri"/>
                <w:bCs/>
                <w:sz w:val="24"/>
                <w:szCs w:val="24"/>
              </w:rPr>
              <w:t>&lt;4&gt;</w:t>
            </w:r>
          </w:p>
        </w:tc>
      </w:tr>
      <w:tr w:rsidR="00EF3417" w:rsidRPr="00EF3417" w:rsidTr="00EF3417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муниципальной(комплексной) программой </w:t>
            </w:r>
          </w:p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EF3417" w:rsidRPr="00EF3417" w:rsidTr="00EF3417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7</w:t>
            </w:r>
          </w:p>
        </w:tc>
      </w:tr>
      <w:tr w:rsidR="00286BB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396DF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  <w:lang w:eastAsia="en-US"/>
              </w:rPr>
            </w:pPr>
            <w:r w:rsidRPr="00541F1D">
              <w:rPr>
                <w:sz w:val="24"/>
                <w:szCs w:val="24"/>
              </w:rPr>
              <w:t>«</w:t>
            </w:r>
            <w:r w:rsidR="00F04D87" w:rsidRPr="00F04D87">
              <w:rPr>
                <w:sz w:val="24"/>
                <w:szCs w:val="24"/>
              </w:rPr>
              <w:t>Энергоэффективность и развитие энергетики</w:t>
            </w:r>
            <w:r w:rsidRPr="00F04D87">
              <w:rPr>
                <w:sz w:val="24"/>
                <w:szCs w:val="24"/>
              </w:rPr>
              <w:t>»</w:t>
            </w:r>
            <w:r w:rsidRPr="00541F1D">
              <w:rPr>
                <w:sz w:val="24"/>
                <w:szCs w:val="24"/>
              </w:rPr>
              <w:t xml:space="preserve"> за 2025 год</w:t>
            </w:r>
          </w:p>
          <w:p w:rsidR="00286BBD" w:rsidRPr="00541F1D" w:rsidRDefault="00286BBD" w:rsidP="00541F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119,8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119,8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областного бюджета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F04D8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D87" w:rsidRPr="00EF3417" w:rsidRDefault="00F04D8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119,8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  <w:p w:rsidR="00EF3417" w:rsidRPr="00EF3417" w:rsidRDefault="00EF3417" w:rsidP="00EF34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lastRenderedPageBreak/>
              <w:t>Комплекс  процессных мероприятий «</w:t>
            </w:r>
            <w:r w:rsidR="00F04D87" w:rsidRPr="00F04D87">
              <w:rPr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r w:rsidR="00F04D87" w:rsidRPr="00F04D87">
              <w:rPr>
                <w:kern w:val="2"/>
                <w:sz w:val="24"/>
                <w:szCs w:val="24"/>
              </w:rPr>
              <w:t>муниципальных учреждениях</w:t>
            </w:r>
            <w:r w:rsidRPr="00541F1D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F04D87" w:rsidRPr="00EF3417" w:rsidTr="00EF3417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F04D8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D87" w:rsidRPr="00EF3417" w:rsidRDefault="00F04D8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711168">
        <w:trPr>
          <w:trHeight w:val="28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F04D87" w:rsidRPr="00F04D87">
              <w:rPr>
                <w:kern w:val="2"/>
                <w:sz w:val="24"/>
                <w:szCs w:val="24"/>
              </w:rPr>
              <w:t>Развитие и модернизация электрических сетей, включая сети уличного освещения</w:t>
            </w:r>
            <w:r w:rsidRPr="00F04D87">
              <w:rPr>
                <w:sz w:val="24"/>
                <w:szCs w:val="24"/>
              </w:rPr>
              <w:t>.»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F04D87">
            <w:r>
              <w:rPr>
                <w:sz w:val="24"/>
                <w:szCs w:val="24"/>
              </w:rPr>
              <w:t>99,8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F04D87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F04D87" w:rsidRPr="00EF3417" w:rsidTr="00711168">
        <w:trPr>
          <w:trHeight w:val="35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87" w:rsidRPr="00541F1D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99,8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61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</w:p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7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1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F04D87" w:rsidRPr="00EF3417" w:rsidTr="00711168">
        <w:trPr>
          <w:trHeight w:val="25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87" w:rsidRPr="00541F1D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F04D87" w:rsidP="00CD244B">
            <w:r>
              <w:rPr>
                <w:sz w:val="24"/>
                <w:szCs w:val="24"/>
              </w:rPr>
              <w:t>99,8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CD24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EF3417" w:rsidRDefault="00F04D8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rPr>
          <w:bCs/>
          <w:sz w:val="24"/>
          <w:szCs w:val="24"/>
        </w:rPr>
      </w:pPr>
    </w:p>
    <w:p w:rsidR="00EF3417" w:rsidRPr="00EF3417" w:rsidRDefault="00EF3417" w:rsidP="00EF3417">
      <w:pPr>
        <w:widowControl w:val="0"/>
        <w:jc w:val="both"/>
        <w:rPr>
          <w:bCs/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  <w:sectPr w:rsidR="00995BE6" w:rsidSect="00EF3417">
          <w:pgSz w:w="16840" w:h="11907" w:orient="landscape"/>
          <w:pgMar w:top="568" w:right="1134" w:bottom="567" w:left="1134" w:header="397" w:footer="567" w:gutter="0"/>
          <w:cols w:space="708"/>
          <w:titlePg/>
          <w:docGrid w:linePitch="326"/>
        </w:sectPr>
      </w:pPr>
    </w:p>
    <w:p w:rsidR="00DF6083" w:rsidRDefault="00DF6083" w:rsidP="00DF608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DF6083" w:rsidRDefault="00DF6083" w:rsidP="00DF608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DF6083" w:rsidRDefault="00DF6083" w:rsidP="00DF608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Pr="006549B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 за 2025 год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>СВЕДЕНИЯ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 xml:space="preserve">о достижении значений показателей </w:t>
      </w:r>
    </w:p>
    <w:p w:rsidR="005863E0" w:rsidRPr="006E5A11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3"/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C62E7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  <w:lang w:eastAsia="en-US"/>
              </w:rPr>
            </w:pPr>
            <w:r w:rsidRPr="005863E0">
              <w:rPr>
                <w:sz w:val="24"/>
                <w:szCs w:val="24"/>
              </w:rPr>
              <w:t>Муницип</w:t>
            </w:r>
            <w:r w:rsidR="00C62E76">
              <w:rPr>
                <w:sz w:val="24"/>
                <w:szCs w:val="24"/>
              </w:rPr>
              <w:t>альная(комплексная) программа «</w:t>
            </w:r>
            <w:r w:rsidR="00F04D87" w:rsidRPr="00F04D87">
              <w:rPr>
                <w:sz w:val="24"/>
                <w:szCs w:val="24"/>
              </w:rPr>
              <w:t>Энергоэффективность и развитие энергетики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2C3898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863E0">
              <w:rPr>
                <w:sz w:val="24"/>
                <w:szCs w:val="24"/>
              </w:rPr>
              <w:t>Показатели муниципальной (комплексной) программы</w:t>
            </w:r>
            <w:r>
              <w:rPr>
                <w:sz w:val="24"/>
                <w:szCs w:val="24"/>
              </w:rPr>
              <w:t xml:space="preserve"> </w:t>
            </w:r>
            <w:r w:rsidRPr="005863E0">
              <w:rPr>
                <w:sz w:val="24"/>
                <w:szCs w:val="24"/>
              </w:rPr>
              <w:t>««</w:t>
            </w:r>
            <w:r w:rsidR="00C62E76">
              <w:rPr>
                <w:sz w:val="24"/>
                <w:szCs w:val="24"/>
              </w:rPr>
              <w:t>Развитие транспортной системы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5863E0" w:rsidRDefault="005863E0" w:rsidP="0058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DF608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F04D87" w:rsidRDefault="005863E0" w:rsidP="00F04D87">
            <w:pPr>
              <w:pStyle w:val="af"/>
              <w:rPr>
                <w:sz w:val="22"/>
                <w:szCs w:val="22"/>
              </w:rPr>
            </w:pPr>
            <w:r w:rsidRPr="006E5A11">
              <w:t>Показатель 1</w:t>
            </w:r>
            <w:r>
              <w:t xml:space="preserve"> «</w:t>
            </w:r>
            <w:r w:rsidR="00F04D87" w:rsidRPr="00F04D87">
              <w:rPr>
                <w:sz w:val="22"/>
                <w:szCs w:val="22"/>
              </w:rPr>
              <w:t>Объем электрической энергии, потребленной муниципальными учреждениями Литвиновского сельского поселения</w:t>
            </w:r>
            <w:r w:rsidR="00DB6B6A">
              <w:rPr>
                <w:sz w:val="22"/>
                <w:szCs w:val="22"/>
              </w:rPr>
              <w:t>»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Тыс.</w:t>
            </w:r>
          </w:p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киловатт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C62E7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убывание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F04D87" w:rsidRPr="006E5A11" w:rsidTr="00DF608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P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B6A">
              <w:rPr>
                <w:sz w:val="24"/>
                <w:szCs w:val="24"/>
              </w:rPr>
              <w:t xml:space="preserve">Показатель 2 </w:t>
            </w:r>
          </w:p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B6B6A">
              <w:rPr>
                <w:kern w:val="2"/>
                <w:sz w:val="22"/>
                <w:szCs w:val="22"/>
              </w:rPr>
              <w:t>Доля фактически освещенных улиц в общей протяженности улиц</w:t>
            </w:r>
          </w:p>
          <w:p w:rsidR="00DB6B6A" w:rsidRP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87" w:rsidRPr="006E5A11" w:rsidRDefault="00F04D87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87" w:rsidRPr="006E5A11" w:rsidRDefault="00F04D87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15,5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7" w:rsidRPr="006E5A11" w:rsidRDefault="00F04D87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B6B6A" w:rsidRPr="006E5A11" w:rsidTr="00DF608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1.3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B6A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3</w:t>
            </w:r>
          </w:p>
          <w:p w:rsidR="00DB6B6A" w:rsidRP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6B6A">
              <w:rPr>
                <w:kern w:val="2"/>
                <w:sz w:val="22"/>
                <w:szCs w:val="22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километров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6A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6A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6A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770D5C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0D5C">
              <w:rPr>
                <w:sz w:val="24"/>
                <w:szCs w:val="24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DB6B6A" w:rsidRPr="00F04D87">
              <w:rPr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r w:rsidR="00DB6B6A" w:rsidRPr="00F04D87">
              <w:rPr>
                <w:kern w:val="2"/>
                <w:sz w:val="24"/>
                <w:szCs w:val="24"/>
              </w:rPr>
              <w:t>муниципальных учреждениях</w:t>
            </w:r>
            <w:r w:rsidRPr="00541F1D">
              <w:rPr>
                <w:sz w:val="24"/>
                <w:szCs w:val="24"/>
              </w:rPr>
              <w:t>»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Показатель1.1.</w:t>
            </w:r>
          </w:p>
          <w:p w:rsidR="005863E0" w:rsidRPr="00DB6B6A" w:rsidRDefault="00DB6B6A" w:rsidP="00770D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6B6A">
              <w:rPr>
                <w:sz w:val="22"/>
                <w:szCs w:val="22"/>
              </w:rPr>
              <w:t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Литвиновского сельского поселения (имеющих техническую возможность их установки)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</w:t>
            </w:r>
            <w:r w:rsidR="00F42D79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</w:t>
            </w:r>
            <w:r w:rsidR="00F42D79"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70D5C" w:rsidRPr="006E5A11" w:rsidTr="002C3898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6E5A11" w:rsidRDefault="00410440" w:rsidP="00410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DB6B6A" w:rsidRPr="00F04D87">
              <w:rPr>
                <w:kern w:val="2"/>
                <w:sz w:val="24"/>
                <w:szCs w:val="24"/>
              </w:rPr>
              <w:t>Развитие и модернизация электрических сетей, включая сети уличного освещения</w:t>
            </w:r>
            <w:r w:rsidR="00DB6B6A" w:rsidRPr="00F04D87">
              <w:rPr>
                <w:sz w:val="24"/>
                <w:szCs w:val="24"/>
              </w:rPr>
              <w:t>.»</w:t>
            </w:r>
            <w:r w:rsidRPr="00F42D79">
              <w:rPr>
                <w:sz w:val="24"/>
                <w:szCs w:val="24"/>
              </w:rPr>
              <w:t>.»</w:t>
            </w:r>
          </w:p>
        </w:tc>
      </w:tr>
      <w:tr w:rsidR="007C7274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Показатель 1.1</w:t>
            </w:r>
          </w:p>
          <w:p w:rsidR="007C7274" w:rsidRPr="00DB6B6A" w:rsidRDefault="00DB6B6A" w:rsidP="007C72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6B6A">
              <w:rPr>
                <w:kern w:val="2"/>
                <w:sz w:val="22"/>
                <w:szCs w:val="22"/>
              </w:rPr>
              <w:t>Доля фактически освещенных улиц в общей протяженности улиц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DB6B6A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16,0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863E0" w:rsidRDefault="00DF6083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О.И. Романенко</w:t>
      </w:r>
    </w:p>
    <w:sectPr w:rsidR="005863E0" w:rsidSect="00DF6083">
      <w:pgSz w:w="16840" w:h="11907" w:orient="landscape"/>
      <w:pgMar w:top="709" w:right="567" w:bottom="624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9C6" w:rsidRDefault="00A419C6">
      <w:r>
        <w:separator/>
      </w:r>
    </w:p>
  </w:endnote>
  <w:endnote w:type="continuationSeparator" w:id="1">
    <w:p w:rsidR="00A419C6" w:rsidRDefault="00A41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9C6" w:rsidRDefault="00A419C6">
      <w:r>
        <w:separator/>
      </w:r>
    </w:p>
  </w:footnote>
  <w:footnote w:type="continuationSeparator" w:id="1">
    <w:p w:rsidR="00A419C6" w:rsidRDefault="00A419C6">
      <w:r>
        <w:continuationSeparator/>
      </w:r>
    </w:p>
  </w:footnote>
  <w:footnote w:id="2">
    <w:p w:rsidR="00C80EE4" w:rsidRDefault="00C80EE4" w:rsidP="00D53410">
      <w:pPr>
        <w:pStyle w:val="ac"/>
        <w:spacing w:line="216" w:lineRule="auto"/>
      </w:pPr>
    </w:p>
  </w:footnote>
  <w:footnote w:id="3">
    <w:p w:rsidR="00C80EE4" w:rsidRPr="00C319B0" w:rsidRDefault="00C80EE4" w:rsidP="005863E0">
      <w:pPr>
        <w:pStyle w:val="ac"/>
        <w:spacing w:line="192" w:lineRule="aut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BC9"/>
    <w:multiLevelType w:val="multilevel"/>
    <w:tmpl w:val="49004BC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A0"/>
    <w:rsid w:val="000032CF"/>
    <w:rsid w:val="0001702A"/>
    <w:rsid w:val="00017441"/>
    <w:rsid w:val="000175D0"/>
    <w:rsid w:val="000210B3"/>
    <w:rsid w:val="00026FAD"/>
    <w:rsid w:val="0003178C"/>
    <w:rsid w:val="00032DD4"/>
    <w:rsid w:val="00034E65"/>
    <w:rsid w:val="0003557C"/>
    <w:rsid w:val="00035E87"/>
    <w:rsid w:val="000371FF"/>
    <w:rsid w:val="000427B9"/>
    <w:rsid w:val="000461E3"/>
    <w:rsid w:val="00050487"/>
    <w:rsid w:val="00055537"/>
    <w:rsid w:val="0005658C"/>
    <w:rsid w:val="00061A94"/>
    <w:rsid w:val="0006200C"/>
    <w:rsid w:val="00065F79"/>
    <w:rsid w:val="00082E95"/>
    <w:rsid w:val="000840F4"/>
    <w:rsid w:val="000867EC"/>
    <w:rsid w:val="00097B2C"/>
    <w:rsid w:val="000A2213"/>
    <w:rsid w:val="000A4C3D"/>
    <w:rsid w:val="000C104C"/>
    <w:rsid w:val="000C35DE"/>
    <w:rsid w:val="000D1138"/>
    <w:rsid w:val="000E4C36"/>
    <w:rsid w:val="000E581F"/>
    <w:rsid w:val="000F01E0"/>
    <w:rsid w:val="000F52B2"/>
    <w:rsid w:val="000F62C7"/>
    <w:rsid w:val="001007CE"/>
    <w:rsid w:val="00112A1E"/>
    <w:rsid w:val="00120060"/>
    <w:rsid w:val="001203CB"/>
    <w:rsid w:val="001264FA"/>
    <w:rsid w:val="00126600"/>
    <w:rsid w:val="00130A60"/>
    <w:rsid w:val="00133B24"/>
    <w:rsid w:val="00136410"/>
    <w:rsid w:val="00136C18"/>
    <w:rsid w:val="00156302"/>
    <w:rsid w:val="001638DD"/>
    <w:rsid w:val="001716BE"/>
    <w:rsid w:val="0018176C"/>
    <w:rsid w:val="001828EF"/>
    <w:rsid w:val="00193C85"/>
    <w:rsid w:val="001962B2"/>
    <w:rsid w:val="001A6DB4"/>
    <w:rsid w:val="001B058B"/>
    <w:rsid w:val="001B26F0"/>
    <w:rsid w:val="001C09DA"/>
    <w:rsid w:val="001D2F97"/>
    <w:rsid w:val="001D3F97"/>
    <w:rsid w:val="001D5E57"/>
    <w:rsid w:val="001D7EBB"/>
    <w:rsid w:val="00201634"/>
    <w:rsid w:val="00213EF4"/>
    <w:rsid w:val="00215684"/>
    <w:rsid w:val="00220E8A"/>
    <w:rsid w:val="00226C56"/>
    <w:rsid w:val="0022747B"/>
    <w:rsid w:val="0023370F"/>
    <w:rsid w:val="00237C5E"/>
    <w:rsid w:val="00244233"/>
    <w:rsid w:val="0024624C"/>
    <w:rsid w:val="002534C9"/>
    <w:rsid w:val="00283E6F"/>
    <w:rsid w:val="002849D4"/>
    <w:rsid w:val="00286BBD"/>
    <w:rsid w:val="002A095F"/>
    <w:rsid w:val="002A48AD"/>
    <w:rsid w:val="002B464F"/>
    <w:rsid w:val="002C3898"/>
    <w:rsid w:val="002E177F"/>
    <w:rsid w:val="002E6EC4"/>
    <w:rsid w:val="002F7674"/>
    <w:rsid w:val="002F7B42"/>
    <w:rsid w:val="00300FDB"/>
    <w:rsid w:val="0030198E"/>
    <w:rsid w:val="00304212"/>
    <w:rsid w:val="003074DE"/>
    <w:rsid w:val="003105BE"/>
    <w:rsid w:val="00320FB5"/>
    <w:rsid w:val="00323C4F"/>
    <w:rsid w:val="003254BE"/>
    <w:rsid w:val="00325936"/>
    <w:rsid w:val="00332148"/>
    <w:rsid w:val="00336018"/>
    <w:rsid w:val="00337BB9"/>
    <w:rsid w:val="0034484C"/>
    <w:rsid w:val="00353090"/>
    <w:rsid w:val="003641FA"/>
    <w:rsid w:val="00374B41"/>
    <w:rsid w:val="00376B26"/>
    <w:rsid w:val="003833AA"/>
    <w:rsid w:val="00391B2A"/>
    <w:rsid w:val="00396DFD"/>
    <w:rsid w:val="0039796C"/>
    <w:rsid w:val="003C247E"/>
    <w:rsid w:val="003C3194"/>
    <w:rsid w:val="003C522C"/>
    <w:rsid w:val="003E48AB"/>
    <w:rsid w:val="003E6B6D"/>
    <w:rsid w:val="003F3F51"/>
    <w:rsid w:val="003F6A21"/>
    <w:rsid w:val="0040423E"/>
    <w:rsid w:val="00410440"/>
    <w:rsid w:val="00417545"/>
    <w:rsid w:val="00424C31"/>
    <w:rsid w:val="00425B5F"/>
    <w:rsid w:val="00426E06"/>
    <w:rsid w:val="004303E2"/>
    <w:rsid w:val="00432642"/>
    <w:rsid w:val="00451543"/>
    <w:rsid w:val="00452566"/>
    <w:rsid w:val="00454E4E"/>
    <w:rsid w:val="00471974"/>
    <w:rsid w:val="0047372D"/>
    <w:rsid w:val="00480B51"/>
    <w:rsid w:val="00491730"/>
    <w:rsid w:val="004A2465"/>
    <w:rsid w:val="004D093A"/>
    <w:rsid w:val="004D7218"/>
    <w:rsid w:val="004D7A4C"/>
    <w:rsid w:val="004E0EBC"/>
    <w:rsid w:val="004E52B5"/>
    <w:rsid w:val="005007FC"/>
    <w:rsid w:val="0050231E"/>
    <w:rsid w:val="00503816"/>
    <w:rsid w:val="00504065"/>
    <w:rsid w:val="00504E6D"/>
    <w:rsid w:val="00507B18"/>
    <w:rsid w:val="00507D84"/>
    <w:rsid w:val="00513392"/>
    <w:rsid w:val="00532A0B"/>
    <w:rsid w:val="00535F15"/>
    <w:rsid w:val="0053786C"/>
    <w:rsid w:val="005400CA"/>
    <w:rsid w:val="00541F1D"/>
    <w:rsid w:val="005469B3"/>
    <w:rsid w:val="005560DF"/>
    <w:rsid w:val="00561F9F"/>
    <w:rsid w:val="00562EC1"/>
    <w:rsid w:val="005643B9"/>
    <w:rsid w:val="005643C1"/>
    <w:rsid w:val="00571DB3"/>
    <w:rsid w:val="0057341B"/>
    <w:rsid w:val="0057492F"/>
    <w:rsid w:val="00581350"/>
    <w:rsid w:val="00583669"/>
    <w:rsid w:val="005861A0"/>
    <w:rsid w:val="005863E0"/>
    <w:rsid w:val="0058682A"/>
    <w:rsid w:val="00587E83"/>
    <w:rsid w:val="00593512"/>
    <w:rsid w:val="0059467E"/>
    <w:rsid w:val="00596E88"/>
    <w:rsid w:val="005A75C5"/>
    <w:rsid w:val="005B7CE7"/>
    <w:rsid w:val="005F5FBD"/>
    <w:rsid w:val="006032DD"/>
    <w:rsid w:val="006077FD"/>
    <w:rsid w:val="00615838"/>
    <w:rsid w:val="0062477F"/>
    <w:rsid w:val="006408A9"/>
    <w:rsid w:val="00640CD4"/>
    <w:rsid w:val="00644931"/>
    <w:rsid w:val="006502A1"/>
    <w:rsid w:val="00650C0C"/>
    <w:rsid w:val="0065614D"/>
    <w:rsid w:val="00657243"/>
    <w:rsid w:val="00657C07"/>
    <w:rsid w:val="00662E44"/>
    <w:rsid w:val="006839AB"/>
    <w:rsid w:val="00685324"/>
    <w:rsid w:val="00691BC5"/>
    <w:rsid w:val="00693A18"/>
    <w:rsid w:val="006A16E9"/>
    <w:rsid w:val="006A6A5A"/>
    <w:rsid w:val="006C0D46"/>
    <w:rsid w:val="006C2267"/>
    <w:rsid w:val="006C29DB"/>
    <w:rsid w:val="006D1DFD"/>
    <w:rsid w:val="006D3921"/>
    <w:rsid w:val="006D3E33"/>
    <w:rsid w:val="006D5698"/>
    <w:rsid w:val="00701186"/>
    <w:rsid w:val="00711168"/>
    <w:rsid w:val="007122CF"/>
    <w:rsid w:val="0072055D"/>
    <w:rsid w:val="0073096D"/>
    <w:rsid w:val="00742FC8"/>
    <w:rsid w:val="0075124B"/>
    <w:rsid w:val="00762163"/>
    <w:rsid w:val="0076455E"/>
    <w:rsid w:val="00765491"/>
    <w:rsid w:val="00770BD2"/>
    <w:rsid w:val="00770D5C"/>
    <w:rsid w:val="00775D8E"/>
    <w:rsid w:val="00776D1C"/>
    <w:rsid w:val="007816EF"/>
    <w:rsid w:val="00783C39"/>
    <w:rsid w:val="00786022"/>
    <w:rsid w:val="00794E36"/>
    <w:rsid w:val="00796A5C"/>
    <w:rsid w:val="00796B04"/>
    <w:rsid w:val="007B7041"/>
    <w:rsid w:val="007C26F2"/>
    <w:rsid w:val="007C2BD3"/>
    <w:rsid w:val="007C48B3"/>
    <w:rsid w:val="007C7043"/>
    <w:rsid w:val="007C7274"/>
    <w:rsid w:val="007D0489"/>
    <w:rsid w:val="007D4AEB"/>
    <w:rsid w:val="007E1861"/>
    <w:rsid w:val="007F186B"/>
    <w:rsid w:val="007F2D40"/>
    <w:rsid w:val="00800970"/>
    <w:rsid w:val="00801F39"/>
    <w:rsid w:val="00815034"/>
    <w:rsid w:val="008220B5"/>
    <w:rsid w:val="00823DCC"/>
    <w:rsid w:val="0082410F"/>
    <w:rsid w:val="008309F8"/>
    <w:rsid w:val="00832C0B"/>
    <w:rsid w:val="00851489"/>
    <w:rsid w:val="00854406"/>
    <w:rsid w:val="008553E5"/>
    <w:rsid w:val="00861C0D"/>
    <w:rsid w:val="0087577D"/>
    <w:rsid w:val="008775D3"/>
    <w:rsid w:val="008829B3"/>
    <w:rsid w:val="00886DB8"/>
    <w:rsid w:val="008932FC"/>
    <w:rsid w:val="008B423F"/>
    <w:rsid w:val="008C49D3"/>
    <w:rsid w:val="008C520D"/>
    <w:rsid w:val="008C58F1"/>
    <w:rsid w:val="008D0A91"/>
    <w:rsid w:val="008D75FC"/>
    <w:rsid w:val="008E25E8"/>
    <w:rsid w:val="008E2CF7"/>
    <w:rsid w:val="008E435A"/>
    <w:rsid w:val="008F49C8"/>
    <w:rsid w:val="008F4E5C"/>
    <w:rsid w:val="008F73C9"/>
    <w:rsid w:val="00904897"/>
    <w:rsid w:val="00904910"/>
    <w:rsid w:val="00912226"/>
    <w:rsid w:val="00912B62"/>
    <w:rsid w:val="009148BC"/>
    <w:rsid w:val="00920DD4"/>
    <w:rsid w:val="00927D2E"/>
    <w:rsid w:val="00932146"/>
    <w:rsid w:val="00936A1B"/>
    <w:rsid w:val="00951326"/>
    <w:rsid w:val="00952BB7"/>
    <w:rsid w:val="00953206"/>
    <w:rsid w:val="00983F3C"/>
    <w:rsid w:val="00985306"/>
    <w:rsid w:val="009916AA"/>
    <w:rsid w:val="0099290C"/>
    <w:rsid w:val="00995BE6"/>
    <w:rsid w:val="009A56E0"/>
    <w:rsid w:val="009B0C70"/>
    <w:rsid w:val="009B3336"/>
    <w:rsid w:val="009B47E9"/>
    <w:rsid w:val="009B4B93"/>
    <w:rsid w:val="009D0742"/>
    <w:rsid w:val="009D45CE"/>
    <w:rsid w:val="009D7E71"/>
    <w:rsid w:val="009E2507"/>
    <w:rsid w:val="009E75A4"/>
    <w:rsid w:val="00A107F4"/>
    <w:rsid w:val="00A252FC"/>
    <w:rsid w:val="00A3780E"/>
    <w:rsid w:val="00A40876"/>
    <w:rsid w:val="00A419C6"/>
    <w:rsid w:val="00A464EB"/>
    <w:rsid w:val="00A47D60"/>
    <w:rsid w:val="00A654A5"/>
    <w:rsid w:val="00A66CDF"/>
    <w:rsid w:val="00A7002D"/>
    <w:rsid w:val="00A7741B"/>
    <w:rsid w:val="00A82C1E"/>
    <w:rsid w:val="00A83D79"/>
    <w:rsid w:val="00AA04D5"/>
    <w:rsid w:val="00AA2201"/>
    <w:rsid w:val="00AA7219"/>
    <w:rsid w:val="00AB1D70"/>
    <w:rsid w:val="00AC5490"/>
    <w:rsid w:val="00AF22AF"/>
    <w:rsid w:val="00AF5EDE"/>
    <w:rsid w:val="00B00949"/>
    <w:rsid w:val="00B01A52"/>
    <w:rsid w:val="00B029E3"/>
    <w:rsid w:val="00B2374F"/>
    <w:rsid w:val="00B3652E"/>
    <w:rsid w:val="00B476B9"/>
    <w:rsid w:val="00B50608"/>
    <w:rsid w:val="00B52722"/>
    <w:rsid w:val="00B568A9"/>
    <w:rsid w:val="00B6285F"/>
    <w:rsid w:val="00B6567D"/>
    <w:rsid w:val="00B71856"/>
    <w:rsid w:val="00B71BAC"/>
    <w:rsid w:val="00B73256"/>
    <w:rsid w:val="00B8017C"/>
    <w:rsid w:val="00B83DBD"/>
    <w:rsid w:val="00B83ED6"/>
    <w:rsid w:val="00B874C8"/>
    <w:rsid w:val="00B87611"/>
    <w:rsid w:val="00B96962"/>
    <w:rsid w:val="00B97CDF"/>
    <w:rsid w:val="00B97ED8"/>
    <w:rsid w:val="00BA1F7D"/>
    <w:rsid w:val="00BA23AA"/>
    <w:rsid w:val="00BA5AFE"/>
    <w:rsid w:val="00BB1400"/>
    <w:rsid w:val="00BB48C6"/>
    <w:rsid w:val="00BB4F96"/>
    <w:rsid w:val="00BB7F28"/>
    <w:rsid w:val="00BC01B0"/>
    <w:rsid w:val="00BC4FFF"/>
    <w:rsid w:val="00BD1AFB"/>
    <w:rsid w:val="00BD1BEA"/>
    <w:rsid w:val="00BE563B"/>
    <w:rsid w:val="00BE63D5"/>
    <w:rsid w:val="00BF2EEC"/>
    <w:rsid w:val="00BF506A"/>
    <w:rsid w:val="00BF6C3D"/>
    <w:rsid w:val="00C01BBA"/>
    <w:rsid w:val="00C05AA2"/>
    <w:rsid w:val="00C10510"/>
    <w:rsid w:val="00C40736"/>
    <w:rsid w:val="00C4788A"/>
    <w:rsid w:val="00C479F5"/>
    <w:rsid w:val="00C55DE4"/>
    <w:rsid w:val="00C62E76"/>
    <w:rsid w:val="00C6365A"/>
    <w:rsid w:val="00C64A3D"/>
    <w:rsid w:val="00C65183"/>
    <w:rsid w:val="00C7268E"/>
    <w:rsid w:val="00C77811"/>
    <w:rsid w:val="00C80EE4"/>
    <w:rsid w:val="00C871FC"/>
    <w:rsid w:val="00C97897"/>
    <w:rsid w:val="00CB1E4F"/>
    <w:rsid w:val="00CB60E4"/>
    <w:rsid w:val="00CB7B68"/>
    <w:rsid w:val="00CB7BB5"/>
    <w:rsid w:val="00CC2455"/>
    <w:rsid w:val="00CE5FB9"/>
    <w:rsid w:val="00CE5FE9"/>
    <w:rsid w:val="00CF151A"/>
    <w:rsid w:val="00CF28E7"/>
    <w:rsid w:val="00D00881"/>
    <w:rsid w:val="00D02F9D"/>
    <w:rsid w:val="00D03E49"/>
    <w:rsid w:val="00D30D9C"/>
    <w:rsid w:val="00D46BC7"/>
    <w:rsid w:val="00D4737E"/>
    <w:rsid w:val="00D50FF3"/>
    <w:rsid w:val="00D53410"/>
    <w:rsid w:val="00D573FC"/>
    <w:rsid w:val="00D60EB7"/>
    <w:rsid w:val="00D630CD"/>
    <w:rsid w:val="00D84408"/>
    <w:rsid w:val="00D8671B"/>
    <w:rsid w:val="00D973C6"/>
    <w:rsid w:val="00DA26D0"/>
    <w:rsid w:val="00DA7FCF"/>
    <w:rsid w:val="00DB1B19"/>
    <w:rsid w:val="00DB4EC5"/>
    <w:rsid w:val="00DB6B6A"/>
    <w:rsid w:val="00DC46A4"/>
    <w:rsid w:val="00DD0705"/>
    <w:rsid w:val="00DD62B4"/>
    <w:rsid w:val="00DE702E"/>
    <w:rsid w:val="00DF455E"/>
    <w:rsid w:val="00DF51F6"/>
    <w:rsid w:val="00DF6083"/>
    <w:rsid w:val="00E02583"/>
    <w:rsid w:val="00E05415"/>
    <w:rsid w:val="00E07CB6"/>
    <w:rsid w:val="00E15BD9"/>
    <w:rsid w:val="00E27105"/>
    <w:rsid w:val="00E33203"/>
    <w:rsid w:val="00E34A09"/>
    <w:rsid w:val="00E41CA1"/>
    <w:rsid w:val="00E4515D"/>
    <w:rsid w:val="00E524C7"/>
    <w:rsid w:val="00E539C3"/>
    <w:rsid w:val="00E62169"/>
    <w:rsid w:val="00E62F21"/>
    <w:rsid w:val="00E634D2"/>
    <w:rsid w:val="00E64D93"/>
    <w:rsid w:val="00E65665"/>
    <w:rsid w:val="00E65FF1"/>
    <w:rsid w:val="00E7188F"/>
    <w:rsid w:val="00E81DAC"/>
    <w:rsid w:val="00E86468"/>
    <w:rsid w:val="00E93A8D"/>
    <w:rsid w:val="00EA4B7D"/>
    <w:rsid w:val="00EA66EA"/>
    <w:rsid w:val="00EA7D86"/>
    <w:rsid w:val="00EB11F1"/>
    <w:rsid w:val="00EB1A82"/>
    <w:rsid w:val="00EB1EFE"/>
    <w:rsid w:val="00EB73AB"/>
    <w:rsid w:val="00EC2D44"/>
    <w:rsid w:val="00EC3F40"/>
    <w:rsid w:val="00EC3F6D"/>
    <w:rsid w:val="00EC56B4"/>
    <w:rsid w:val="00ED1294"/>
    <w:rsid w:val="00ED5F93"/>
    <w:rsid w:val="00EE1844"/>
    <w:rsid w:val="00EE3414"/>
    <w:rsid w:val="00EE3D88"/>
    <w:rsid w:val="00EE46B4"/>
    <w:rsid w:val="00EE6538"/>
    <w:rsid w:val="00EF3417"/>
    <w:rsid w:val="00F04D87"/>
    <w:rsid w:val="00F24A38"/>
    <w:rsid w:val="00F26500"/>
    <w:rsid w:val="00F27EA1"/>
    <w:rsid w:val="00F3016F"/>
    <w:rsid w:val="00F358A8"/>
    <w:rsid w:val="00F42D79"/>
    <w:rsid w:val="00F51A0F"/>
    <w:rsid w:val="00F53AF3"/>
    <w:rsid w:val="00F62D7B"/>
    <w:rsid w:val="00F75A7B"/>
    <w:rsid w:val="00F87993"/>
    <w:rsid w:val="00FA2ABB"/>
    <w:rsid w:val="00FA437D"/>
    <w:rsid w:val="00FC27D3"/>
    <w:rsid w:val="00FD2A1C"/>
    <w:rsid w:val="00FD6893"/>
    <w:rsid w:val="00FE0000"/>
    <w:rsid w:val="00FF7647"/>
    <w:rsid w:val="4FB80E1A"/>
    <w:rsid w:val="7DD1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0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3530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353090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35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5309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530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sid w:val="00353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35309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353090"/>
    <w:pPr>
      <w:ind w:left="720"/>
      <w:contextualSpacing/>
    </w:pPr>
  </w:style>
  <w:style w:type="paragraph" w:customStyle="1" w:styleId="ab">
    <w:name w:val="Знак Знак Знак Знак"/>
    <w:basedOn w:val="a"/>
    <w:qFormat/>
    <w:rsid w:val="003530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"/>
    <w:link w:val="ad"/>
    <w:uiPriority w:val="99"/>
    <w:rsid w:val="00D53410"/>
  </w:style>
  <w:style w:type="character" w:customStyle="1" w:styleId="ad">
    <w:name w:val="Текст сноски Знак"/>
    <w:basedOn w:val="a0"/>
    <w:link w:val="ac"/>
    <w:uiPriority w:val="99"/>
    <w:rsid w:val="00D53410"/>
    <w:rPr>
      <w:rFonts w:ascii="Times New Roman" w:eastAsia="Times New Roman" w:hAnsi="Times New Roman" w:cs="Times New Roman"/>
    </w:rPr>
  </w:style>
  <w:style w:type="character" w:styleId="ae">
    <w:name w:val="footnote reference"/>
    <w:link w:val="1"/>
    <w:uiPriority w:val="99"/>
    <w:rsid w:val="00D53410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53410"/>
    <w:rPr>
      <w:rFonts w:asciiTheme="minorHAnsi" w:eastAsiaTheme="minorHAnsi" w:hAnsiTheme="minorHAnsi" w:cstheme="minorBidi"/>
      <w:vertAlign w:val="superscript"/>
    </w:rPr>
  </w:style>
  <w:style w:type="paragraph" w:customStyle="1" w:styleId="Default">
    <w:name w:val="Default"/>
    <w:rsid w:val="004D09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04D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F9DD-A82F-4A27-BC22-E7E3F03A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10</cp:revision>
  <cp:lastPrinted>2026-02-20T06:43:00Z</cp:lastPrinted>
  <dcterms:created xsi:type="dcterms:W3CDTF">2026-03-16T11:48:00Z</dcterms:created>
  <dcterms:modified xsi:type="dcterms:W3CDTF">2026-03-19T12:08:00Z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93E2665CFA9044299B6DC26047333DC5_12</vt:lpwstr>
  </property>
</Properties>
</file>