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F83FFF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E625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25 ф</w:t>
      </w:r>
      <w:bookmarkStart w:id="1" w:name="_GoBack"/>
      <w:bookmarkEnd w:id="1"/>
      <w:r w:rsidR="00884844">
        <w:rPr>
          <w:bCs/>
          <w:sz w:val="28"/>
          <w:szCs w:val="28"/>
        </w:rPr>
        <w:t xml:space="preserve">евраля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32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A2500A">
        <w:rPr>
          <w:b/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="00D252F4" w:rsidRPr="00D252F4">
                    <w:rPr>
                      <w:kern w:val="2"/>
                      <w:szCs w:val="28"/>
                    </w:rPr>
                    <w:t>46.8</w:t>
                  </w:r>
                  <w:r>
                    <w:rPr>
                      <w:kern w:val="2"/>
                      <w:szCs w:val="28"/>
                    </w:rPr>
                    <w:t>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D252F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val="en-US"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6.3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D252F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val="en-US"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6.3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="00D252F4" w:rsidRPr="00D252F4">
                    <w:rPr>
                      <w:kern w:val="2"/>
                      <w:szCs w:val="28"/>
                    </w:rPr>
                    <w:t>46.8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D252F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6.3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D252F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6.3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C572F5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C572F5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815E0C" w:rsidRDefault="00815E0C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815E0C" w:rsidRDefault="00815E0C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15E0C" w:rsidP="00C572F5"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мероприятие3.2. Осуществление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сельского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C572F5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4E756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4E7567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765FF0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B47170"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C572F5"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 xml:space="preserve">«Противодействие правонарушений на </w:t>
            </w:r>
            <w:r>
              <w:rPr>
                <w:sz w:val="20"/>
                <w:szCs w:val="20"/>
              </w:rPr>
              <w:lastRenderedPageBreak/>
              <w:t>территории»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>«Противодействие коррупции в 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C572F5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C572F5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65FF0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</w:t>
      </w:r>
      <w:r w:rsidR="00884844">
        <w:rPr>
          <w:sz w:val="28"/>
          <w:szCs w:val="28"/>
        </w:rPr>
        <w:t xml:space="preserve"> со дня его официального опубликования.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FF" w:rsidRDefault="00F83FFF">
      <w:r>
        <w:separator/>
      </w:r>
    </w:p>
  </w:endnote>
  <w:endnote w:type="continuationSeparator" w:id="0">
    <w:p w:rsidR="00F83FFF" w:rsidRDefault="00F8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E6252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FF" w:rsidRDefault="00F83FFF">
      <w:r>
        <w:separator/>
      </w:r>
    </w:p>
  </w:footnote>
  <w:footnote w:type="continuationSeparator" w:id="0">
    <w:p w:rsidR="00F83FFF" w:rsidRDefault="00F8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7E6252"/>
    <w:rsid w:val="00802F4B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252F4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83FFF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DB80F-2F8E-4715-83F5-F08D30A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2C0B-70A4-4F5B-AEBD-A415428F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</vt:vector>
  </TitlesOfParts>
  <Company>MoBIL GROUP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37</cp:revision>
  <cp:lastPrinted>2022-02-15T08:19:00Z</cp:lastPrinted>
  <dcterms:created xsi:type="dcterms:W3CDTF">2019-02-06T10:55:00Z</dcterms:created>
  <dcterms:modified xsi:type="dcterms:W3CDTF">2022-02-28T07:27:00Z</dcterms:modified>
</cp:coreProperties>
</file>